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0DD1" w14:textId="77777777" w:rsidR="00990811" w:rsidRPr="00990811" w:rsidRDefault="00990811" w:rsidP="009908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811">
        <w:rPr>
          <w:rFonts w:ascii="Times New Roman" w:hAnsi="Times New Roman" w:cs="Times New Roman"/>
          <w:sz w:val="24"/>
          <w:szCs w:val="24"/>
        </w:rPr>
        <w:t>Teine lugemine</w:t>
      </w:r>
    </w:p>
    <w:p w14:paraId="412AE849" w14:textId="1191B10E" w:rsidR="00990811" w:rsidRPr="00990811" w:rsidRDefault="00727C39" w:rsidP="009908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24.09</w:t>
      </w:r>
      <w:r w:rsidR="009B46E5">
        <w:rPr>
          <w:rFonts w:ascii="Times New Roman" w:hAnsi="Times New Roman" w:cs="Times New Roman"/>
          <w:sz w:val="24"/>
          <w:szCs w:val="24"/>
        </w:rPr>
        <w:t>.</w:t>
      </w:r>
      <w:r w:rsidR="0080448C">
        <w:rPr>
          <w:rFonts w:ascii="Times New Roman" w:hAnsi="Times New Roman" w:cs="Times New Roman"/>
          <w:sz w:val="24"/>
          <w:szCs w:val="24"/>
        </w:rPr>
        <w:t xml:space="preserve"> </w:t>
      </w:r>
      <w:r w:rsidR="00990811" w:rsidRPr="00990811">
        <w:rPr>
          <w:rFonts w:ascii="Times New Roman" w:hAnsi="Times New Roman" w:cs="Times New Roman"/>
          <w:sz w:val="24"/>
          <w:szCs w:val="24"/>
        </w:rPr>
        <w:t>202</w:t>
      </w:r>
      <w:r w:rsidR="00990811">
        <w:rPr>
          <w:rFonts w:ascii="Times New Roman" w:hAnsi="Times New Roman" w:cs="Times New Roman"/>
          <w:sz w:val="24"/>
          <w:szCs w:val="24"/>
        </w:rPr>
        <w:t>5</w:t>
      </w:r>
    </w:p>
    <w:p w14:paraId="261E1ECC" w14:textId="77777777" w:rsidR="00990811" w:rsidRPr="00990811" w:rsidRDefault="00990811" w:rsidP="009908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904FA0" w14:textId="610ED89C" w:rsidR="00990811" w:rsidRPr="00990811" w:rsidRDefault="00322E43" w:rsidP="00990811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  <w:t>6</w:t>
      </w:r>
      <w:r w:rsidR="00990811" w:rsidRPr="00990811"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  <w:t>0</w:t>
      </w:r>
      <w:r w:rsidR="00990811" w:rsidRPr="00990811"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  <w:t xml:space="preserve"> SE II</w:t>
      </w:r>
    </w:p>
    <w:p w14:paraId="286B7922" w14:textId="7E373D4A" w:rsidR="00990811" w:rsidRPr="00990811" w:rsidRDefault="00990811" w:rsidP="009908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0811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 xml:space="preserve">Muudatusettepanekute loetelu </w:t>
      </w:r>
      <w:r w:rsidR="002D4B37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2D4B37" w:rsidRPr="00DC0168">
        <w:rPr>
          <w:rFonts w:ascii="Times New Roman" w:hAnsi="Times New Roman" w:cs="Times New Roman"/>
          <w:b/>
          <w:bCs/>
          <w:sz w:val="32"/>
          <w:szCs w:val="32"/>
        </w:rPr>
        <w:t xml:space="preserve">olitsei ja piirivalve seaduse täiendamise </w:t>
      </w:r>
      <w:r w:rsidRPr="00990811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seaduse eelnõu</w:t>
      </w:r>
      <w:r w:rsidR="002D4B37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990811">
        <w:rPr>
          <w:rFonts w:ascii="Times New Roman" w:hAnsi="Times New Roman" w:cs="Times New Roman"/>
          <w:b/>
          <w:sz w:val="32"/>
          <w:szCs w:val="32"/>
        </w:rPr>
        <w:t>teiseks lugemiseks</w:t>
      </w:r>
    </w:p>
    <w:p w14:paraId="3E12D702" w14:textId="77777777" w:rsidR="00990811" w:rsidRPr="00990811" w:rsidRDefault="00990811" w:rsidP="00990811">
      <w:pPr>
        <w:adjustRightInd w:val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25291423"/>
    </w:p>
    <w:bookmarkEnd w:id="0"/>
    <w:p w14:paraId="3F27FDA5" w14:textId="0CD6B2EE" w:rsidR="00F501F2" w:rsidRPr="00834693" w:rsidRDefault="00990811" w:rsidP="004E41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0811"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1. </w:t>
      </w:r>
      <w:r w:rsidR="004E41BB" w:rsidRPr="004E41BB">
        <w:rPr>
          <w:rFonts w:ascii="Times New Roman" w:hAnsi="Times New Roman" w:cs="Times New Roman"/>
          <w:sz w:val="24"/>
          <w:szCs w:val="24"/>
        </w:rPr>
        <w:t>Muuta ja sõnastada</w:t>
      </w:r>
      <w:r w:rsidR="004E41BB">
        <w:rPr>
          <w:rFonts w:ascii="Times New Roman" w:hAnsi="Times New Roman" w:cs="Times New Roman"/>
          <w:sz w:val="24"/>
          <w:szCs w:val="24"/>
        </w:rPr>
        <w:t xml:space="preserve"> e</w:t>
      </w:r>
      <w:r w:rsidR="004E41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elnõus toodud p</w:t>
      </w:r>
      <w:r w:rsidR="00F501F2" w:rsidRPr="00DC0168">
        <w:rPr>
          <w:rFonts w:ascii="Times New Roman" w:hAnsi="Times New Roman" w:cs="Times New Roman"/>
          <w:sz w:val="24"/>
          <w:szCs w:val="24"/>
        </w:rPr>
        <w:t>olitsei ja piirivalve</w:t>
      </w:r>
      <w:r w:rsidR="00F501F2">
        <w:rPr>
          <w:rFonts w:ascii="Times New Roman" w:hAnsi="Times New Roman" w:cs="Times New Roman"/>
          <w:sz w:val="24"/>
          <w:szCs w:val="24"/>
        </w:rPr>
        <w:t xml:space="preserve"> </w:t>
      </w:r>
      <w:r w:rsidR="00F501F2" w:rsidRPr="00DC0168">
        <w:rPr>
          <w:rFonts w:ascii="Times New Roman" w:hAnsi="Times New Roman" w:cs="Times New Roman"/>
          <w:sz w:val="24"/>
          <w:szCs w:val="24"/>
        </w:rPr>
        <w:t>seadus</w:t>
      </w:r>
      <w:r w:rsidR="00F501F2">
        <w:rPr>
          <w:rFonts w:ascii="Times New Roman" w:hAnsi="Times New Roman" w:cs="Times New Roman"/>
          <w:sz w:val="24"/>
          <w:szCs w:val="24"/>
        </w:rPr>
        <w:t>e 3. peatüki 1. ja</w:t>
      </w:r>
      <w:r w:rsidR="004E41BB">
        <w:rPr>
          <w:rFonts w:ascii="Times New Roman" w:hAnsi="Times New Roman" w:cs="Times New Roman"/>
          <w:sz w:val="24"/>
          <w:szCs w:val="24"/>
        </w:rPr>
        <w:t>o</w:t>
      </w:r>
      <w:r w:rsidR="00F501F2">
        <w:rPr>
          <w:rFonts w:ascii="Times New Roman" w:hAnsi="Times New Roman" w:cs="Times New Roman"/>
          <w:sz w:val="24"/>
          <w:szCs w:val="24"/>
        </w:rPr>
        <w:t xml:space="preserve"> </w:t>
      </w:r>
      <w:r w:rsidR="004E41BB">
        <w:rPr>
          <w:rFonts w:ascii="Times New Roman" w:hAnsi="Times New Roman" w:cs="Times New Roman"/>
          <w:sz w:val="24"/>
          <w:szCs w:val="24"/>
        </w:rPr>
        <w:t xml:space="preserve">uue </w:t>
      </w:r>
      <w:r w:rsidR="00F501F2" w:rsidRPr="00DC0168">
        <w:rPr>
          <w:rFonts w:ascii="Times New Roman" w:hAnsi="Times New Roman" w:cs="Times New Roman"/>
          <w:sz w:val="24"/>
          <w:szCs w:val="24"/>
        </w:rPr>
        <w:t>§</w:t>
      </w:r>
      <w:r w:rsidR="004E41BB">
        <w:rPr>
          <w:rFonts w:ascii="Times New Roman" w:hAnsi="Times New Roman" w:cs="Times New Roman"/>
          <w:sz w:val="24"/>
          <w:szCs w:val="24"/>
        </w:rPr>
        <w:t xml:space="preserve"> </w:t>
      </w:r>
      <w:r w:rsidR="00F501F2" w:rsidRPr="00CF2C65">
        <w:rPr>
          <w:rFonts w:ascii="Times New Roman" w:hAnsi="Times New Roman" w:cs="Times New Roman"/>
          <w:sz w:val="24"/>
          <w:szCs w:val="24"/>
        </w:rPr>
        <w:t>13</w:t>
      </w:r>
      <w:r w:rsidR="00F501F2" w:rsidRPr="00CF2C6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41BB" w:rsidRPr="004E41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41BB" w:rsidRPr="004E41BB">
        <w:rPr>
          <w:rFonts w:ascii="Times New Roman" w:hAnsi="Times New Roman" w:cs="Times New Roman"/>
          <w:sz w:val="24"/>
          <w:szCs w:val="24"/>
        </w:rPr>
        <w:t>(</w:t>
      </w:r>
      <w:r w:rsidR="004E41BB">
        <w:rPr>
          <w:rFonts w:ascii="Times New Roman" w:hAnsi="Times New Roman" w:cs="Times New Roman"/>
          <w:sz w:val="24"/>
          <w:szCs w:val="24"/>
        </w:rPr>
        <w:t>n</w:t>
      </w:r>
      <w:r w:rsidR="004E41BB" w:rsidRPr="004E41BB">
        <w:rPr>
          <w:rFonts w:ascii="Times New Roman" w:hAnsi="Times New Roman" w:cs="Times New Roman"/>
          <w:sz w:val="24"/>
          <w:szCs w:val="24"/>
        </w:rPr>
        <w:t>umbrituvastuskaamera ja selle andmete töötlemine)</w:t>
      </w:r>
      <w:r w:rsidR="00F501F2" w:rsidRPr="00DC0168">
        <w:rPr>
          <w:rFonts w:ascii="Times New Roman" w:hAnsi="Times New Roman" w:cs="Times New Roman"/>
          <w:sz w:val="24"/>
          <w:szCs w:val="24"/>
        </w:rPr>
        <w:t xml:space="preserve"> </w:t>
      </w:r>
      <w:r w:rsidR="004E41BB">
        <w:rPr>
          <w:rFonts w:ascii="Times New Roman" w:hAnsi="Times New Roman" w:cs="Times New Roman"/>
          <w:sz w:val="24"/>
          <w:szCs w:val="24"/>
        </w:rPr>
        <w:t>lõiked 2 - 8 järgmiselt:</w:t>
      </w:r>
    </w:p>
    <w:p w14:paraId="3B49649F" w14:textId="77777777" w:rsidR="004E41BB" w:rsidRPr="00401511" w:rsidRDefault="004E41BB" w:rsidP="00F5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4EE63" w14:textId="1734038C" w:rsidR="00401511" w:rsidRPr="00401511" w:rsidRDefault="0025504A" w:rsidP="00401511">
      <w:pPr>
        <w:pStyle w:val="muudetavtekstalljoonega"/>
        <w:rPr>
          <w:u w:val="none"/>
        </w:rPr>
      </w:pPr>
      <w:r>
        <w:rPr>
          <w:u w:val="none"/>
        </w:rPr>
        <w:t>„</w:t>
      </w:r>
      <w:r w:rsidR="00401511" w:rsidRPr="00401511">
        <w:rPr>
          <w:u w:val="none"/>
        </w:rPr>
        <w:t>(2)</w:t>
      </w:r>
      <w:r w:rsidR="00401511" w:rsidRPr="00401511">
        <w:rPr>
          <w:spacing w:val="-2"/>
          <w:u w:val="none"/>
        </w:rPr>
        <w:t> </w:t>
      </w:r>
      <w:bookmarkStart w:id="1" w:name="_Hlk199431402"/>
      <w:r w:rsidR="00401511" w:rsidRPr="00401511">
        <w:rPr>
          <w:spacing w:val="-2"/>
          <w:u w:val="none"/>
        </w:rPr>
        <w:t>Politsei- ja Piirivalveamet võib korrakaitseseaduse § 34 lõikes 1 sätestatud juhtudel salvestada</w:t>
      </w:r>
      <w:r w:rsidR="00401511" w:rsidRPr="00401511">
        <w:rPr>
          <w:u w:val="none"/>
        </w:rPr>
        <w:t xml:space="preserve"> numbrituvastuskaameraga foto mootorsõidukist või haagisest ning selle registreerimismärgist </w:t>
      </w:r>
      <w:bookmarkEnd w:id="1"/>
      <w:r w:rsidR="00401511" w:rsidRPr="00401511">
        <w:rPr>
          <w:u w:val="none"/>
        </w:rPr>
        <w:t xml:space="preserve">(edaspidi </w:t>
      </w:r>
      <w:r w:rsidR="00401511" w:rsidRPr="00401511">
        <w:rPr>
          <w:i/>
          <w:iCs/>
          <w:u w:val="none"/>
        </w:rPr>
        <w:t>numbrituvastuskaamera</w:t>
      </w:r>
      <w:r w:rsidR="00401511" w:rsidRPr="00401511">
        <w:rPr>
          <w:u w:val="none"/>
        </w:rPr>
        <w:t xml:space="preserve"> </w:t>
      </w:r>
      <w:r w:rsidR="00401511" w:rsidRPr="00401511">
        <w:rPr>
          <w:i/>
          <w:iCs/>
          <w:u w:val="none"/>
        </w:rPr>
        <w:t>salvestis</w:t>
      </w:r>
      <w:r w:rsidR="00401511" w:rsidRPr="00401511">
        <w:rPr>
          <w:u w:val="none"/>
        </w:rPr>
        <w:t>) ning seda käesolevas paragrahvis sätestatud alustel kasutada ja säilitada.</w:t>
      </w:r>
    </w:p>
    <w:p w14:paraId="795A2F3E" w14:textId="77777777" w:rsidR="00401511" w:rsidRPr="00401511" w:rsidRDefault="00401511" w:rsidP="00401511">
      <w:pPr>
        <w:pStyle w:val="muudetavtekstalljoonega"/>
        <w:rPr>
          <w:u w:val="none"/>
        </w:rPr>
      </w:pPr>
      <w:bookmarkStart w:id="2" w:name="_Hlk198891794"/>
      <w:r w:rsidRPr="00401511">
        <w:rPr>
          <w:u w:val="none"/>
        </w:rPr>
        <w:t xml:space="preserve">(3) Politsei- ja Piirivalveamet võib seadusest, </w:t>
      </w:r>
      <w:proofErr w:type="spellStart"/>
      <w:r w:rsidRPr="00401511">
        <w:rPr>
          <w:u w:val="none"/>
        </w:rPr>
        <w:t>välislepingust</w:t>
      </w:r>
      <w:proofErr w:type="spellEnd"/>
      <w:r w:rsidRPr="00401511">
        <w:rPr>
          <w:u w:val="none"/>
        </w:rPr>
        <w:t xml:space="preserve"> või Euroopa Liidu õigusaktist tulenevate ülesannete täitmiseks numbrituvastuskaamera salvestist edasi töödelda, kasutades käesoleva paragrahvi lõike 4 punktides 1, 3 ja 4 nimetatud andmeid järgmistel eesmärkidel:</w:t>
      </w:r>
    </w:p>
    <w:p w14:paraId="13D35137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1) kuritegude menetlemine;</w:t>
      </w:r>
    </w:p>
    <w:p w14:paraId="2CDF6FD7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2) kõrgendatud või olulise ohu väljaselgitamine, tõrjumine või sellise korrarikkumise kõrvaldamine;</w:t>
      </w:r>
    </w:p>
    <w:p w14:paraId="12D2622D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3) tagaotsitavate isikute või rahvusvaheliselt tagaotsitavate esemete asukoha kindlaks tegemine.</w:t>
      </w:r>
      <w:bookmarkEnd w:id="2"/>
    </w:p>
    <w:p w14:paraId="2C0D0E5F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(4) Numbrituvastuskaamera salvestis sisaldab järgmisi andmeid:</w:t>
      </w:r>
    </w:p>
    <w:p w14:paraId="0BED2AEE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1) mootorsõiduki või haagise ning selle registreerimismärgi foto;</w:t>
      </w:r>
    </w:p>
    <w:p w14:paraId="2494ACD4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2) käesoleva lõike punktis 1 nimetatud fotole jäänud mootorsõidukis või selle vahetus läheduses viibinud isiku kujutis;</w:t>
      </w:r>
    </w:p>
    <w:p w14:paraId="76B6F59D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3) mootorsõiduki või haagise registreerimismärgilt tuvastatud registreerimisnumber;</w:t>
      </w:r>
    </w:p>
    <w:p w14:paraId="63F97581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4) mootorsõiduki või haagise fotografeerimise aeg ja koht.</w:t>
      </w:r>
    </w:p>
    <w:p w14:paraId="741DBE3C" w14:textId="77777777" w:rsidR="00401511" w:rsidRPr="00401511" w:rsidRDefault="00401511" w:rsidP="00401511">
      <w:pPr>
        <w:pStyle w:val="muudetavtekstalljoonega"/>
        <w:rPr>
          <w:u w:val="none"/>
        </w:rPr>
      </w:pPr>
      <w:bookmarkStart w:id="3" w:name="_Hlk198891732"/>
      <w:r w:rsidRPr="00401511">
        <w:rPr>
          <w:u w:val="none"/>
        </w:rPr>
        <w:t xml:space="preserve">(5) Juurdepääs numbrituvastuskaamera salvestisele </w:t>
      </w:r>
      <w:bookmarkEnd w:id="3"/>
      <w:r w:rsidRPr="00401511">
        <w:rPr>
          <w:u w:val="none"/>
        </w:rPr>
        <w:t>ja õigus salvestist edasi töödelda, kasutades käesoleva paragrahvi lõike 4 punktides 1, 3 ja 4 nimetatud andmeid, on:</w:t>
      </w:r>
    </w:p>
    <w:p w14:paraId="341804F9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1) Maksu- ja Tolliametil käesoleva paragrahvi lõikes 3 nimetatud eesmärkidel;</w:t>
      </w:r>
    </w:p>
    <w:p w14:paraId="1883A3FE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 xml:space="preserve">2) julgeolekuasutusel seadusest, </w:t>
      </w:r>
      <w:proofErr w:type="spellStart"/>
      <w:r w:rsidRPr="00401511">
        <w:rPr>
          <w:u w:val="none"/>
        </w:rPr>
        <w:t>välislepingust</w:t>
      </w:r>
      <w:proofErr w:type="spellEnd"/>
      <w:r w:rsidRPr="00401511">
        <w:rPr>
          <w:u w:val="none"/>
        </w:rPr>
        <w:t xml:space="preserve"> või Euroopa Liidu õigusaktist tulenevate ülesannete täitmiseks julgeolekuasutuste seaduses sätestatud alustel.</w:t>
      </w:r>
    </w:p>
    <w:p w14:paraId="0D371175" w14:textId="6D9FD0BC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(6) Käesoleva paragrahvi lõikes 3 nimetatud eesmärkidel numbrituvastuskaamera salvestise andmete töötlemisel tuleb märkida töötluse aluseks oleva juhtumi, teate või menetluse number ning andmete töötlemise põhjendus. Politsei- ja Piirivalveamet koostab ja avalikustab kord aastas andmekaitseauditi tulemuste kokkuvõtte.</w:t>
      </w:r>
    </w:p>
    <w:p w14:paraId="14A5623D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(7)</w:t>
      </w:r>
      <w:r w:rsidRPr="00401511">
        <w:rPr>
          <w:spacing w:val="-4"/>
          <w:u w:val="none"/>
        </w:rPr>
        <w:t> Numbrituvastuskaamera salvestis kantakse politsei andmekogu ennetava tegevuse andmestikku</w:t>
      </w:r>
      <w:r w:rsidRPr="00401511">
        <w:rPr>
          <w:u w:val="none"/>
        </w:rPr>
        <w:t xml:space="preserve"> ja seda säilitatakse seal 45 kalendripäeva alates salvestise tegemisest. Numbrituvastuskaamera salvestist, mis kantakse teise andmestikku, säilitatakse vastava andmestiku säilitamistähtaja lõppemiseni.</w:t>
      </w:r>
    </w:p>
    <w:p w14:paraId="27B6827F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(8) </w:t>
      </w:r>
      <w:bookmarkStart w:id="4" w:name="_Hlk199194939"/>
      <w:r w:rsidRPr="00401511">
        <w:rPr>
          <w:u w:val="none"/>
        </w:rPr>
        <w:t xml:space="preserve">Numbrituvastuskaamera andmetöötluse logi kohta säilitatakse järgmisi andmeid </w:t>
      </w:r>
      <w:bookmarkStart w:id="5" w:name="_Hlk199433962"/>
      <w:r w:rsidRPr="00401511">
        <w:rPr>
          <w:u w:val="none"/>
        </w:rPr>
        <w:t>kaks aastat päringu tegemisest</w:t>
      </w:r>
      <w:bookmarkEnd w:id="5"/>
      <w:r w:rsidRPr="00401511">
        <w:rPr>
          <w:u w:val="none"/>
        </w:rPr>
        <w:t xml:space="preserve"> arvates:</w:t>
      </w:r>
    </w:p>
    <w:p w14:paraId="1FB90ECA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1) salvestise tegemise aeg ja koht;</w:t>
      </w:r>
    </w:p>
    <w:p w14:paraId="19792E42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2) mootorsõiduki või haagise registreerimisnumber;</w:t>
      </w:r>
    </w:p>
    <w:p w14:paraId="58F04968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lastRenderedPageBreak/>
        <w:t>3) päringu tegija ees- ja perekonnanimi ning isikukood või asutus, arvestades riigisaladuse ja salastatud välisteabe seaduses sätestatut;</w:t>
      </w:r>
    </w:p>
    <w:p w14:paraId="153CF3CD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4) päringu kuupäev ja kellaaeg;</w:t>
      </w:r>
    </w:p>
    <w:p w14:paraId="5E61AADB" w14:textId="77777777" w:rsidR="00401511" w:rsidRPr="00401511" w:rsidRDefault="00401511" w:rsidP="00401511">
      <w:pPr>
        <w:pStyle w:val="muudetavtekstalljoonega"/>
        <w:rPr>
          <w:u w:val="none"/>
        </w:rPr>
      </w:pPr>
      <w:r w:rsidRPr="00401511">
        <w:rPr>
          <w:u w:val="none"/>
        </w:rPr>
        <w:t>5) päringu liik ja põhjendus, arvestades käesoleva paragrahvi lõikes 6 sätestatut.</w:t>
      </w:r>
      <w:bookmarkStart w:id="6" w:name="_Hlk199415395"/>
      <w:bookmarkEnd w:id="4"/>
      <w:r w:rsidRPr="00401511">
        <w:rPr>
          <w:u w:val="none"/>
        </w:rPr>
        <w:t>”.</w:t>
      </w:r>
      <w:bookmarkEnd w:id="6"/>
    </w:p>
    <w:p w14:paraId="5D21B511" w14:textId="77777777" w:rsidR="00F501F2" w:rsidRPr="00F501F2" w:rsidRDefault="00F501F2" w:rsidP="009908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452CE7" w14:textId="36044CC2" w:rsidR="001C41E7" w:rsidRPr="001C41E7" w:rsidRDefault="00990811" w:rsidP="001C41E7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Selgitus: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41E7" w:rsidRPr="001C41E7">
        <w:rPr>
          <w:rFonts w:ascii="Times New Roman" w:hAnsi="Times New Roman" w:cs="Times New Roman"/>
          <w:i/>
          <w:iCs/>
          <w:sz w:val="24"/>
          <w:szCs w:val="24"/>
        </w:rPr>
        <w:t>Politsei ja piirivalve seaduse 3. peatüki 1. jao uue § 13</w:t>
      </w:r>
      <w:r w:rsidR="001C41E7"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1C41E7" w:rsidRPr="001C4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41E7" w:rsidRPr="001C41E7">
        <w:rPr>
          <w:rFonts w:ascii="Times New Roman" w:hAnsi="Times New Roman" w:cs="Times New Roman"/>
          <w:i/>
          <w:iCs/>
          <w:sz w:val="24"/>
          <w:szCs w:val="24"/>
        </w:rPr>
        <w:t>(numbrituvastuskaamera ja selle andmete töötlemine) lõikes 1 ei ole tehtud muudatusi võrreldes algatatud eelnõu tekstiga. Muudatus sisaldab § 13</w:t>
      </w:r>
      <w:r w:rsidR="001C41E7"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1 </w:t>
      </w:r>
      <w:r w:rsidR="001C41E7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lõigete 2 – 8 täpsustamist. </w:t>
      </w:r>
      <w:r w:rsidR="00CF216B">
        <w:rPr>
          <w:rFonts w:ascii="Times New Roman" w:hAnsi="Times New Roman" w:cs="Times New Roman"/>
          <w:i/>
          <w:iCs/>
          <w:sz w:val="24"/>
          <w:szCs w:val="24"/>
        </w:rPr>
        <w:t>Nii ettepanek kui ka a</w:t>
      </w:r>
      <w:r w:rsidR="001C41E7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lltoodud selgitused on </w:t>
      </w:r>
      <w:r w:rsidR="00CF216B">
        <w:rPr>
          <w:rFonts w:ascii="Times New Roman" w:hAnsi="Times New Roman" w:cs="Times New Roman"/>
          <w:i/>
          <w:iCs/>
          <w:sz w:val="24"/>
          <w:szCs w:val="24"/>
        </w:rPr>
        <w:t xml:space="preserve">koostatud </w:t>
      </w:r>
      <w:r w:rsidR="001C41E7" w:rsidRPr="001C41E7">
        <w:rPr>
          <w:rFonts w:ascii="Times New Roman" w:hAnsi="Times New Roman" w:cs="Times New Roman"/>
          <w:i/>
          <w:iCs/>
          <w:sz w:val="24"/>
          <w:szCs w:val="24"/>
        </w:rPr>
        <w:t>Vabariigi Valitsuse arvamus</w:t>
      </w:r>
      <w:r w:rsidR="00CF216B">
        <w:rPr>
          <w:rFonts w:ascii="Times New Roman" w:hAnsi="Times New Roman" w:cs="Times New Roman"/>
          <w:i/>
          <w:iCs/>
          <w:sz w:val="24"/>
          <w:szCs w:val="24"/>
        </w:rPr>
        <w:t>e alusel.</w:t>
      </w:r>
      <w:r w:rsidR="001C41E7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504A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Vabariigi Valitsuse </w:t>
      </w:r>
      <w:r w:rsidR="0025504A">
        <w:rPr>
          <w:rFonts w:ascii="Times New Roman" w:hAnsi="Times New Roman" w:cs="Times New Roman"/>
          <w:i/>
          <w:iCs/>
          <w:sz w:val="24"/>
          <w:szCs w:val="24"/>
        </w:rPr>
        <w:t xml:space="preserve">kirjas toodud selgitustele on lisatud eelnõu teksti tehtavad muudatused, milles </w:t>
      </w:r>
      <w:r w:rsidR="0025504A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lisatud </w:t>
      </w:r>
      <w:r w:rsidR="0025504A">
        <w:rPr>
          <w:rFonts w:ascii="Times New Roman" w:hAnsi="Times New Roman" w:cs="Times New Roman"/>
          <w:i/>
          <w:iCs/>
          <w:sz w:val="24"/>
          <w:szCs w:val="24"/>
        </w:rPr>
        <w:t>teksti</w:t>
      </w:r>
      <w:r w:rsidR="0025504A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osa </w:t>
      </w:r>
      <w:r w:rsidR="0025504A">
        <w:rPr>
          <w:rFonts w:ascii="Times New Roman" w:hAnsi="Times New Roman" w:cs="Times New Roman"/>
          <w:i/>
          <w:iCs/>
          <w:sz w:val="24"/>
          <w:szCs w:val="24"/>
        </w:rPr>
        <w:t xml:space="preserve">on </w:t>
      </w:r>
      <w:r w:rsidR="0025504A" w:rsidRPr="001C41E7">
        <w:rPr>
          <w:rFonts w:ascii="Times New Roman" w:hAnsi="Times New Roman" w:cs="Times New Roman"/>
          <w:i/>
          <w:iCs/>
          <w:sz w:val="24"/>
          <w:szCs w:val="24"/>
        </w:rPr>
        <w:t>alla joonitud</w:t>
      </w:r>
      <w:r w:rsidR="0025504A">
        <w:rPr>
          <w:rFonts w:ascii="Times New Roman" w:hAnsi="Times New Roman" w:cs="Times New Roman"/>
          <w:i/>
          <w:iCs/>
          <w:sz w:val="24"/>
          <w:szCs w:val="24"/>
        </w:rPr>
        <w:t xml:space="preserve"> ning</w:t>
      </w:r>
      <w:r w:rsidR="0025504A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välja jäetud </w:t>
      </w:r>
      <w:r w:rsidR="0025504A">
        <w:rPr>
          <w:rFonts w:ascii="Times New Roman" w:hAnsi="Times New Roman" w:cs="Times New Roman"/>
          <w:i/>
          <w:iCs/>
          <w:sz w:val="24"/>
          <w:szCs w:val="24"/>
        </w:rPr>
        <w:t>teksti</w:t>
      </w:r>
      <w:r w:rsidR="0025504A" w:rsidRPr="001C41E7">
        <w:rPr>
          <w:rFonts w:ascii="Times New Roman" w:hAnsi="Times New Roman" w:cs="Times New Roman"/>
          <w:i/>
          <w:iCs/>
          <w:sz w:val="24"/>
          <w:szCs w:val="24"/>
        </w:rPr>
        <w:t>osa läbikriipsutatud</w:t>
      </w:r>
      <w:r w:rsidR="0025504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18ACD8A" w14:textId="77777777" w:rsidR="0080448C" w:rsidRPr="001C41E7" w:rsidRDefault="0080448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052933" w14:textId="64FBE15A" w:rsidR="0080448C" w:rsidRPr="001C41E7" w:rsidRDefault="0080448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1. Numbrituvastuskaamerate kasutamise alused.</w:t>
      </w:r>
    </w:p>
    <w:p w14:paraId="4750B93B" w14:textId="77777777" w:rsidR="0080448C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Eelnõus sätestatakse objektiivses õiguses esmakordselt sõnaselgelt, et numbrituvastuskaamera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on korrakaitseseaduse (edaspidi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KorS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>) § 34 mõistes jälgimisseadmestik ning antakse politseile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õigus selle abil teha ja salvestada mootorsõidukist ja selle registreerimismärgist fotosid.</w:t>
      </w:r>
    </w:p>
    <w:p w14:paraId="4ED7891B" w14:textId="77777777" w:rsidR="0080448C" w:rsidRPr="001C41E7" w:rsidRDefault="0080448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96ACE3" w14:textId="54916AE9" w:rsidR="0024437E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Seejuures on eelnõus jäetud täpsustamata, millisel alusel fotografeerimine ja fotode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salvestamine toimub. Eeltoodu tähendab, et kaamerate kasutusala võib hõlmata ka ohu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ennetamist. Sellega ei nõustu Justiits- ja Digiministeerium (edaspidi JDM), kuivõrd kehtiva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KorS-i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vastuvõtmisel hindas parlament avalikus kohas jälgimisseadmestiku kasutamise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proportsionaalseks eeldusel, et esineb vähemalt konkreetse ohu kahtlus. JDM on seisukohal, et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numbrituvastuskaamerate kasutamine peaks olema ka edaspidi piiratud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KorS-i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§-s 34 sätestatud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juhtumitega, mistõttu tuleks eelnõus selgelt välja tuua, et numbrituvastuskaameraid võib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politsei (aga ka teised volitatud asutused) lisaks kriminaalmenetluse läbiviimisele kasutada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ohutõrjelisel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eesmärgil üksnes kõrgendatud või olulise ohu väljaselgitamiseks ja tõrjumiseks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ning sellist ohtu sisaldava korrarikkumise kõrvaldamiseks. Siseministeerium (edaspidi SIM)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nõustub JDM märkusega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Vabariigi Valitsus 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teeb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ettepaneku muuta ja sõnastada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PPVS-i § 13</w:t>
      </w:r>
      <w:r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lõige 2</w:t>
      </w:r>
      <w:r w:rsidR="00CF216B">
        <w:rPr>
          <w:rFonts w:ascii="Times New Roman" w:hAnsi="Times New Roman" w:cs="Times New Roman"/>
          <w:i/>
          <w:iCs/>
          <w:sz w:val="24"/>
          <w:szCs w:val="24"/>
        </w:rPr>
        <w:t xml:space="preserve"> järgmiselt.</w:t>
      </w:r>
    </w:p>
    <w:p w14:paraId="37E69053" w14:textId="77777777" w:rsidR="0024437E" w:rsidRPr="001C41E7" w:rsidRDefault="0024437E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F951B8" w14:textId="3CBB430C" w:rsidR="0080448C" w:rsidRPr="001C41E7" w:rsidRDefault="0080448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Lõike 2 tekst muudatustega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(lisatud osa alla</w:t>
      </w:r>
      <w:r w:rsidR="0024437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>joonitud)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18FEC761" w14:textId="77777777" w:rsidR="0024437E" w:rsidRPr="001C41E7" w:rsidRDefault="0024437E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FED3BE" w14:textId="03217628" w:rsidR="0080448C" w:rsidRPr="001C41E7" w:rsidRDefault="002A0959" w:rsidP="008044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80448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(2) Politsei- ja Piirivalveamet võib </w:t>
      </w:r>
      <w:r w:rsidR="0080448C"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korrakaitseseaduse § 34 lõikes 1 sätestatud juhtudel</w:t>
      </w:r>
      <w:r w:rsidR="0080448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salvestada numbrituvastuskaameraga foto mootorsõidukist või haagisest ning selle registreerimismärgist (edaspidi numbrituvastuskaamera salvestis) ning seda käesolevas paragrahvis sätestatud alustel kasutada ja säilitada.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0DD6D25B" w14:textId="77777777" w:rsidR="0003443E" w:rsidRPr="001C41E7" w:rsidRDefault="0003443E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75B081" w14:textId="2E0118B5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2. Numbrituvastuskaamera salvestiste kasutusala</w:t>
      </w:r>
      <w:r w:rsidR="0080448C"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B98C56C" w14:textId="1B2DE94C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Eelnõu</w:t>
      </w:r>
      <w:r w:rsidR="0080448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kohase</w:t>
      </w:r>
      <w:r w:rsidR="000E6FAF">
        <w:rPr>
          <w:rFonts w:ascii="Times New Roman" w:hAnsi="Times New Roman" w:cs="Times New Roman"/>
          <w:i/>
          <w:iCs/>
          <w:sz w:val="24"/>
          <w:szCs w:val="24"/>
        </w:rPr>
        <w:t>lt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6FAF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sätestatakse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PPVS-i § 13</w:t>
      </w:r>
      <w:r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lõikes 3 alused, mille esinemisel võib Politsei- ja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Piirivalveameti (edaspidi PPA) numbrituvastuskaamera salvestisi kasutada. Kavandatud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sõnastuse kohaselt on andmetöötlus lubatud kuritegude avastamise, tõkestamise ja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enetlemise, korrarikkumise kõrvaldamise ning tagaotsimise eesmärgil. Leiame, et selline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sõnastus ei pruugi olla kooskõlas isikuandmete kaitse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üldmääruse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(edaspidi IKÜM) artikli 5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lõike 1 punktides sätestatud töötlemise põhimõtetega, sealhulgas eesmärgipärasuse,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minimaalsuse ja proportsionaalsuse nõuetega.</w:t>
      </w:r>
    </w:p>
    <w:p w14:paraId="2FBEC0B2" w14:textId="77777777" w:rsidR="00F043EC" w:rsidRPr="001C41E7" w:rsidRDefault="00F043E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2FBBB9" w14:textId="734FFE62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Eelnõu</w:t>
      </w:r>
      <w:r w:rsidR="00D56E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kohase</w:t>
      </w:r>
      <w:r w:rsidR="00D56EB5">
        <w:rPr>
          <w:rFonts w:ascii="Times New Roman" w:hAnsi="Times New Roman" w:cs="Times New Roman"/>
          <w:i/>
          <w:iCs/>
          <w:sz w:val="24"/>
          <w:szCs w:val="24"/>
        </w:rPr>
        <w:t>lt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6EB5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sisalduvad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PPVS-i § 13</w:t>
      </w:r>
      <w:r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lõike 3 punktis 1 viited kuritegude avastamisele ja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tõkestamisele avavad võimaluse andmete töötlemiseks ka olukorras, kus puudub konkreetne</w:t>
      </w:r>
    </w:p>
    <w:p w14:paraId="20419D06" w14:textId="77777777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kriminaalmenetlus või kuriteokahtlus, mistõttu puudub andmetöötluseks piisav vajadus ning</w:t>
      </w:r>
    </w:p>
    <w:p w14:paraId="6708EFCE" w14:textId="660FDE1A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lastRenderedPageBreak/>
        <w:t>seega riive õigustatus. Leiame, et andmetöötluse mõistlikuks ja kontrollitavaks piiriks on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kuritegude menetlemine, mis eeldab selget seost konkreetse raske õigusrikkumisega. Samuti on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punkt 2 sõnastatud liiga üldiselt, võimaldades andmetöötlust igasuguse korrarikkumise puhul.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Arvestades numbrituvastuskaameraga kogutavate andmete kasutamise ulatust ja tundlikkust,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tuleks piirang kehtestada juhtudele, mis on seotud kõrgendatud või olulise ohuga avalikule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korrale.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Lisaks leiame, et tagaotsimise alus (punkt 3) vajab selgemat otstarbe määratlust. Isikute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tagaotsimine on meie hinnangul proportsionaalne ja põhjendatud, sest tegemist on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kriminaalmenetluse seadustiku alusel tagaotsimisega. Samas ei pruugi vallasasjade otsimine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alati ulatuslikku isikuandmete töötlemist õigustada. Leiame, et siinkohal tuleb eristada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juhtumeid, kus esemete tagaotsimist tehakse rahvusvahelise koostöö raames üldisest esemete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otsimisest. Sellised olukorrad ei tulene üksnes halduslikust või operatiivsest valikust, vaid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rahvusvahelistest kohustustest, mis põhinevad lepingulistel alusel (nt Interpoli või EL-i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õigusalase koostöö raames). Rahvusvaheliselt tagaotsitavate esemete asukoha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kindlakstegemine on tihedalt seotud raskete piiriüleste rikkumiste, sealhulgas organiseeritud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kuritegevuse ja julgeolekuohtude maandamisega. Sellistel juhtudel võib isikuandmete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töötlemist pidada vajalikuks ja õiguspäraseks. Muudel juhtudel peaks vallasasjade otsimiseks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numbrituvastuskaamera kasutamine olema põhjendatud siis, kui tegemist on olulise ohuga.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KorS-i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§ 5 lõike 8 punkti 1 järgi on varaline kahju olulise väärtusega siis, kui vallasasja väärtus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ületab ühe kuu palga alammäära kümnekordselt. Vabariigi Valitsuse 19.12.2024 määruse nr 87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kohaselt on 2025. aasta palga alammäär 886 eurot. See tähendab, et olulise väärtusega varaline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kahju peab olema vähemalt 8 860 eurot.</w:t>
      </w:r>
    </w:p>
    <w:p w14:paraId="394A92E6" w14:textId="77777777" w:rsidR="0080448C" w:rsidRPr="001C41E7" w:rsidRDefault="0080448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1D90F1" w14:textId="29AD119C" w:rsidR="0024437E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Oluline on ka see, et kuigi andmetöötlus peab tuginema konkreetsele alusele, ei saa see piirduda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üksnes proaktiivse tegevusega, kus oht on eelnevalt teada. Numbrituvastuskaamerate salvestisi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kasutatakse ka tagantjärele – näiteks teadmata kadunud isiku liikumisteekonna tuvastamiseks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või tõendite kogumiseks toimepandud kuriteo puhul. Selline kasutus peab samuti olema selgelt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piiritletud ja õigustatud, vältimaks andmete laiaulatuslikku kasutust ilma piisava vajaduseta.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Selleks on oluline, et kaamerate paigutamise aluseks oleks PPA koostatud kirjalik ja konkreetne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ohuhinnang, millest nähtub ülim ehk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ultima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ratio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vajadus salvestiste kogumiseks konkreetses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asukohas. See tagab, et andmete kogumine ja seega ka põhiõiguste riive, ei põhine üksnes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oletuslikul või abstraktsel ohul. Varasem teenistuslik järelevalve on näidanud, et kaameraid on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kohati paigaldatud ebapiisava kaalutlusmaterjali alusel või sootuks selleta. Schengeni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kompensatsioonimeetmete rakendamisel peeti põhjendatud sekkumiseks samuti vältimatut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vajadust, mis pidi tulenema hinnatud ja dokumenteeritud turvariskist. Samasugune lähenemine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peab kehtima ka siseriiklikus õiguskorras.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Peame oluliseks eelnõu PPVS-i § 13</w:t>
      </w:r>
      <w:r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lõike 3 täpsustamist, et see oleks kooskõlas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isikuandmete töötlemise põhimõtetega ning tagaks nii õiguspärase kui proportsionaalse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andmekasutuse. </w:t>
      </w:r>
      <w:r w:rsidR="0024437E" w:rsidRPr="001C41E7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eeme ettepaneku muuta ja sõnastada eelnõu PPVS-i § 13</w:t>
      </w:r>
      <w:r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lõige 3</w:t>
      </w:r>
      <w:r w:rsidR="00CF216B">
        <w:rPr>
          <w:rFonts w:ascii="Times New Roman" w:hAnsi="Times New Roman" w:cs="Times New Roman"/>
          <w:i/>
          <w:iCs/>
          <w:sz w:val="24"/>
          <w:szCs w:val="24"/>
        </w:rPr>
        <w:t xml:space="preserve"> järgmiselt.</w:t>
      </w:r>
    </w:p>
    <w:p w14:paraId="4708E919" w14:textId="77777777" w:rsidR="0024437E" w:rsidRPr="001C41E7" w:rsidRDefault="0024437E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E53292" w14:textId="30AE6622" w:rsidR="00F043EC" w:rsidRPr="001C41E7" w:rsidRDefault="00F043E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Lõike 3 tekst muudatustega (lisatud osa alla joonitud</w:t>
      </w:r>
      <w:r w:rsidR="002356C5" w:rsidRPr="001C41E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välja jäetud osa läbikriipsutatud): </w:t>
      </w:r>
    </w:p>
    <w:p w14:paraId="182715DB" w14:textId="77777777" w:rsidR="00F043EC" w:rsidRPr="001C41E7" w:rsidRDefault="00F043E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6BA15F" w14:textId="1B90173C" w:rsidR="00F043EC" w:rsidRPr="001C41E7" w:rsidRDefault="0024437E" w:rsidP="00F043E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bookmarkStart w:id="7" w:name="_Hlk209008409"/>
      <w:r w:rsidRPr="001C41E7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>(3) Politsei- ja Piirivalveamet võib seaduses</w:t>
      </w:r>
      <w:r w:rsidR="00861167" w:rsidRPr="00861167">
        <w:rPr>
          <w:rFonts w:ascii="Times New Roman" w:hAnsi="Times New Roman" w:cs="Times New Roman"/>
          <w:i/>
          <w:iCs/>
          <w:sz w:val="24"/>
          <w:szCs w:val="24"/>
          <w:u w:val="single"/>
        </w:rPr>
        <w:t>t</w:t>
      </w:r>
      <w:r w:rsidR="00096839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43EC" w:rsidRPr="00861167">
        <w:rPr>
          <w:rFonts w:ascii="Times New Roman" w:hAnsi="Times New Roman" w:cs="Times New Roman"/>
          <w:i/>
          <w:iCs/>
          <w:strike/>
          <w:sz w:val="24"/>
          <w:szCs w:val="24"/>
        </w:rPr>
        <w:t>sätestatud või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>välislepingust</w:t>
      </w:r>
      <w:proofErr w:type="spellEnd"/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või Euroopa Liidu õigusaktist tulenevate ülesannete täitmiseks </w:t>
      </w:r>
      <w:r w:rsidR="00F043EC"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kasutada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numbrituvastuskaamera</w:t>
      </w:r>
      <w:r w:rsidR="00F043EC"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t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43EC"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või selle </w:t>
      </w:r>
      <w:r w:rsidR="00F043EC" w:rsidRPr="00861167">
        <w:rPr>
          <w:rFonts w:ascii="Times New Roman" w:hAnsi="Times New Roman" w:cs="Times New Roman"/>
          <w:i/>
          <w:iCs/>
          <w:sz w:val="24"/>
          <w:szCs w:val="24"/>
        </w:rPr>
        <w:t>salvestist</w:t>
      </w:r>
      <w:r w:rsidR="00F043EC" w:rsidRPr="00861167">
        <w:rPr>
          <w:rFonts w:ascii="Times New Roman" w:hAnsi="Times New Roman" w:cs="Times New Roman"/>
          <w:i/>
          <w:iCs/>
          <w:strike/>
          <w:sz w:val="24"/>
          <w:szCs w:val="24"/>
        </w:rPr>
        <w:t>: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edasi töödelda kasutades käesoleva paragrahvi lõike 4 punktides 1, 3 ja 4 nimetatud andmeid järgmistel eesmärkidel:</w:t>
      </w:r>
    </w:p>
    <w:bookmarkEnd w:id="7"/>
    <w:p w14:paraId="771AAA6D" w14:textId="77777777" w:rsidR="00F043EC" w:rsidRPr="001C41E7" w:rsidRDefault="00F043EC" w:rsidP="00F043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1) kuritegude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avastamiseks, tõkestamiseks ja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menetlemi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seks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ne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5090D9C" w14:textId="77777777" w:rsidR="00F043EC" w:rsidRPr="001C41E7" w:rsidRDefault="00F043EC" w:rsidP="00F043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2) kõrgendatud või olulise ohu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väljaselgitami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seks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ne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tõrjumi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seks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ne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või sellise korrarikkumise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lõpetamiseks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kõrvaldamine;</w:t>
      </w:r>
    </w:p>
    <w:p w14:paraId="575BF6CF" w14:textId="6B3D9F0A" w:rsidR="00F043EC" w:rsidRPr="001C41E7" w:rsidRDefault="00F043EC" w:rsidP="00F043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3) tagaotsitavate isikute 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või rahvusvaheliselt tagaotsitavate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ja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esemete asukoha kindlaks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tegemi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seks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ne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4437E" w:rsidRPr="001C41E7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76CED26D" w14:textId="77777777" w:rsidR="00F043EC" w:rsidRDefault="00F043E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5B38D3" w14:textId="75112CBF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3. Numbrituvastuskaamera salvestise andmed</w:t>
      </w:r>
      <w:r w:rsidR="0080448C"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69073DCD" w14:textId="583B929A" w:rsidR="0024437E" w:rsidRPr="001C41E7" w:rsidRDefault="004E41BB" w:rsidP="0024437E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Teeme ettepaneku täpsustada eelnõu PPVS-i § 13</w:t>
      </w:r>
      <w:r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lõike 4 punktide 1 ja 2 sõnastust</w:t>
      </w:r>
      <w:r w:rsidR="00CF216B">
        <w:rPr>
          <w:rFonts w:ascii="Times New Roman" w:hAnsi="Times New Roman" w:cs="Times New Roman"/>
          <w:i/>
          <w:iCs/>
          <w:sz w:val="24"/>
          <w:szCs w:val="24"/>
        </w:rPr>
        <w:t xml:space="preserve"> järgmiselt</w:t>
      </w:r>
      <w:r w:rsidR="0024437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Tegemist on keeleliste täpsustustega, millega sätte sisu ei muudeta.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519C92C" w14:textId="77777777" w:rsidR="0024437E" w:rsidRPr="001C41E7" w:rsidRDefault="0024437E" w:rsidP="00F043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FD5E77" w14:textId="2D90F5B4" w:rsidR="00F043EC" w:rsidRPr="001C41E7" w:rsidRDefault="00F043EC" w:rsidP="00F043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Lõike 4 tekst muudatustega (lisatud osa alla joonitud</w:t>
      </w:r>
      <w:r w:rsidR="002356C5" w:rsidRPr="001C41E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välja jäetud osa läbikriipsutatud): </w:t>
      </w:r>
    </w:p>
    <w:p w14:paraId="7B6BA1BD" w14:textId="77777777" w:rsidR="0024437E" w:rsidRPr="001C41E7" w:rsidRDefault="0024437E" w:rsidP="00F043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89DEDD" w14:textId="4B0E0CFD" w:rsidR="00F043EC" w:rsidRPr="001C41E7" w:rsidRDefault="00F043EC" w:rsidP="00F043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„(4) Numbrituvastuskaamera salvestis sisaldab järgmisi andmeid:</w:t>
      </w:r>
    </w:p>
    <w:p w14:paraId="773792F5" w14:textId="77777777" w:rsidR="00F043EC" w:rsidRPr="001C41E7" w:rsidRDefault="00F043EC" w:rsidP="00F043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1)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foto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mootorsõiduki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st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või haagise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st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ning selle registreerimismärgi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st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foto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A0DB691" w14:textId="77777777" w:rsidR="00F043EC" w:rsidRPr="001C41E7" w:rsidRDefault="00F043EC" w:rsidP="00F043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2) 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käesoleva lõike punktis 1 nimetatud fotole jäänud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mootorsõidukis või selle vahetus läheduses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viibi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vad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nud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isiku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d, kui nad on käesoleva lõike punktis 1 nimetatud </w:t>
      </w:r>
      <w:proofErr w:type="spellStart"/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fotol;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kujutis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B21B25D" w14:textId="77777777" w:rsidR="00F043EC" w:rsidRPr="001C41E7" w:rsidRDefault="00F043EC" w:rsidP="00F043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3) mootorsõiduki või haagise registreerimismärgilt tuvastatud registreerimisnumber;</w:t>
      </w:r>
    </w:p>
    <w:p w14:paraId="04D9BDDA" w14:textId="4CE79E8D" w:rsidR="004E41BB" w:rsidRPr="001C41E7" w:rsidRDefault="00F043EC" w:rsidP="00F043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4) mootorsõiduki või haagise fotografeerimise aeg ja koht.“</w:t>
      </w:r>
    </w:p>
    <w:p w14:paraId="7E6D7215" w14:textId="77777777" w:rsidR="0003443E" w:rsidRPr="001C41E7" w:rsidRDefault="0003443E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550161" w14:textId="6CBA5BF7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4. Numbrituvastuskaamera salvestisele juurdepääsu omavate asutuste ringi laiendamine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4822AE05" w14:textId="77777777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Eelnõu kohaselt on politsei numbrituvastuskaamerate andmetele juurdepääs tagatud üksnes</w:t>
      </w:r>
    </w:p>
    <w:p w14:paraId="0A8F1B21" w14:textId="1FDF7523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PPA-le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ning julgeolekuasutustele. Samas leiame, et Maksu- ja Tolliametil (edaspidi MTA), kes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oli esimene uurimisasutus Eestis, kellele anti õigus kasutada automaatseid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numbrituvastuskaameraid peamiselt piirialadel Schengeni kompensatsioonimeetmete</w:t>
      </w:r>
    </w:p>
    <w:p w14:paraId="146A4A4B" w14:textId="34626931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täitmiseks, tuleks säilitada juurdepääs ka politsei kaamerate andmetele, mis keskenduvad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riigisisesele liiklusele.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Leiame, et erinevatel uurimisasutustel ei peaks olema oma eraldiseisvaid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numbrituvastuskaamerate võrgustikke, vaid süsteem peaks olema ühtne ning jagatud. Seejuures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juurdepääs andmetele peaks olema võimaldatud üksnes seaduses sätestatud ülesannete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täitmiseks ning ainult objektiivse vajaduse korral. Seda seisukohta on toetanud ka Euroopa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Komisjon.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MTA vajadus kasutada politsei kaamerate andmeid ka sisemaa territooriumil, on praktikas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juhtumite lahendamisel korduvalt kinnitust leidnud, kuna lisaks maksukuritegudele tegeleb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MTA ka piiriüleste narkootikumide ebaseadusliku sisse- ja väljaveo ning rahvusvaheliste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sanktsioonide rikkumiste uurimisega. Selliste keerukate kuritegude uurimine nõuab tõhusaid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tööriistu, mis võimaldavad analüüsida kaubavoogudes kahtlasi veoseid, tuvastada ja jälgida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kahtlasi sõidukeid ning mõista kuritegelike võrgustike tegutsemisviise.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Eeltoodust tulenevalt toonitame, et on oluline, et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MTA-l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oleks võimalus kasutada ka politsei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numbrituvastussüsteemi andmeid, järgides seejuures mõistagi rangelt seadusest tulenevaid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nõudeid. Andmete kasutamine ja juurdepääsutingimused peaksid olema samasugused, kui need,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mis kehtivad ka politseile ning on sätestatud eelnõu § 13</w:t>
      </w:r>
      <w:r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lõikes 3. Seetõttu teeme ettepaneku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täiendada eelnõu PPVS-i § 13</w:t>
      </w:r>
      <w:r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lõiget 5, lisades numbrituvastuskaamera salvestisele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juurdepääsu omavate asutuste hulka ka MTA.</w:t>
      </w:r>
    </w:p>
    <w:p w14:paraId="14D46742" w14:textId="77777777" w:rsidR="00F043EC" w:rsidRPr="001C41E7" w:rsidRDefault="00F043E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0F7206" w14:textId="1BA0A68D" w:rsidR="00F043EC" w:rsidRPr="001C41E7" w:rsidRDefault="00F043E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Lõike 5 tekst muudatustega (lisatud osa alla joonitud</w:t>
      </w:r>
      <w:r w:rsidR="0072031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välja jäetud osa läbikriipsutatud):</w:t>
      </w:r>
    </w:p>
    <w:p w14:paraId="05E6B207" w14:textId="77777777" w:rsidR="002E48E6" w:rsidRDefault="002E48E6" w:rsidP="009D2F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2C9DFA" w14:textId="71813BF9" w:rsidR="00F043EC" w:rsidRPr="001C41E7" w:rsidRDefault="00F043EC" w:rsidP="009D2F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„(5) 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Juurdepääs </w:t>
      </w:r>
      <w:proofErr w:type="spellStart"/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N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n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umbrituvastuskaamera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salvestisele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on seaduses sätestatud või </w:t>
      </w:r>
      <w:proofErr w:type="spellStart"/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välislepingust</w:t>
      </w:r>
      <w:proofErr w:type="spellEnd"/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 või Euroopa Liidu õigusaktist tulenevate ülesannete täitmiseks juurdepääs lisaks Politsei- ja Piirivalveametile julgeolekuasutusel käesoleva paragrahvi lõikes 3 ning julgeolekuasutuste seaduses sätestatud ülesannete täitmiseks. 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ja õigus salvestist edasi töödelda kasutades</w:t>
      </w:r>
      <w:r w:rsidR="009D2F5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käesoleva paragrahvi lõike 4 p</w:t>
      </w:r>
      <w:r w:rsidR="009D2F55">
        <w:rPr>
          <w:rFonts w:ascii="Times New Roman" w:hAnsi="Times New Roman" w:cs="Times New Roman"/>
          <w:i/>
          <w:iCs/>
          <w:sz w:val="24"/>
          <w:szCs w:val="24"/>
          <w:u w:val="single"/>
        </w:rPr>
        <w:t>unkti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des 1, 3 ja 4 nimetatud andmeid on:</w:t>
      </w:r>
    </w:p>
    <w:p w14:paraId="45B54F8C" w14:textId="77777777" w:rsidR="00F043EC" w:rsidRPr="001C41E7" w:rsidRDefault="00F043EC" w:rsidP="00F043E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1) Maksu- ja Tolliametil käesoleva paragrahvi lõikes 3 nimetatud eesmärkidel;</w:t>
      </w:r>
    </w:p>
    <w:p w14:paraId="0186C780" w14:textId="107E58A5" w:rsidR="00F043EC" w:rsidRPr="001C41E7" w:rsidRDefault="00F043EC" w:rsidP="00F043E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2) julgeolekuasutusel seadusest,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välislepingust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või Euroopa Liidu õigusaktist tulenevate</w:t>
      </w:r>
      <w:r w:rsidR="009D2F5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ülesannete täitmiseks julgeolekuasutuste seaduses sätestatud alustel.“</w:t>
      </w:r>
    </w:p>
    <w:p w14:paraId="6DC8587D" w14:textId="77777777" w:rsidR="0003443E" w:rsidRPr="001C41E7" w:rsidRDefault="0003443E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8A25BF" w14:textId="77777777" w:rsidR="0080448C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5. Andmekaitseauditi kohustuse sisseviimine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8A23369" w14:textId="77777777" w:rsidR="0024437E" w:rsidRPr="001C41E7" w:rsidRDefault="004E41BB" w:rsidP="002443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Palume täiendada eelnõuga PPVS-i lisatava § 13</w:t>
      </w:r>
      <w:r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lõiget 6 teise lausega</w:t>
      </w:r>
      <w:r w:rsidR="0024437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. Lõike 6 tekst muudatustega (lisatud osa alla joonitud): </w:t>
      </w:r>
    </w:p>
    <w:p w14:paraId="319B206E" w14:textId="7D222A56" w:rsidR="0024437E" w:rsidRPr="001C41E7" w:rsidRDefault="0024437E" w:rsidP="0024437E">
      <w:pPr>
        <w:pStyle w:val="Vahedeta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„(6) Käesoleva paragrahvi lõikes 3 nimetatud eesmärkidel numbrituvastuskaamera salvestise andmete töötlemisel tuleb märkida töötluse aluseks oleva juhtumi, teate või menetluse number ning andmete töötlemise põhjendus.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Politsei- ja Piirivalveamet koostab ja avalikustab kord aastas andmekaitseauditi tulemuste kokkuvõtte.“</w:t>
      </w:r>
    </w:p>
    <w:p w14:paraId="075B0D7C" w14:textId="77777777" w:rsidR="0080448C" w:rsidRPr="001C41E7" w:rsidRDefault="0080448C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0F2806" w14:textId="7DE324B9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Vastav auditeerimise nõue isikuandmete töötlemisel tuleneb nii õiguskaitseasutuste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andmekaitse-direktiivi artiklist 34 kui IKÜM-i artiklist 39. Regulaarne andmekaitseauditite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läbiviimine ja nende tulemuste avalikustamine tagab läbipaistvuse ning aitab kindlustada, et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isikuandmete töötlemine vastab kehtivatele õigusaktidele ja andmekaitsenõuetele. Samuti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suurendab see PPA vastutust ning tugevdab usaldust ameti andmetöötlusprotsesside suhtes. Et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14E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elle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kohustuse täitmine oleks püsiv ning haldusorganil ei oleks võimalust ressursisäästu või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muude kaalutluste tõttu sellest seadusest tulenevast nõudest aja jooksul oma aktiga loobuda,</w:t>
      </w:r>
    </w:p>
    <w:p w14:paraId="2E7F34C3" w14:textId="77777777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palume see sätestada seaduse tasandil.</w:t>
      </w:r>
    </w:p>
    <w:p w14:paraId="31E59EEA" w14:textId="77777777" w:rsidR="0003443E" w:rsidRPr="001C41E7" w:rsidRDefault="0003443E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6C648B" w14:textId="77777777" w:rsidR="0024437E" w:rsidRPr="001C41E7" w:rsidRDefault="004E41BB" w:rsidP="0024437E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6. Numbrituvastuskaamera andmete säilitamistähtaja kohustuslikkus ja ennetähtaegse</w:t>
      </w:r>
      <w:r w:rsidR="0024437E"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kustutamise välistamine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69F607A" w14:textId="3F003B58" w:rsidR="0024437E" w:rsidRPr="001C41E7" w:rsidRDefault="004E41BB" w:rsidP="0024437E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Palume jätta välja eelnõu PPVS-i § 13</w:t>
      </w:r>
      <w:r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lõike 7 lõpust tekstiosa: „või vajaduse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äralangemisel kustutatakse numbrituvastuskaamera salvestis enne säilitamistähtaja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lõppemist“. Seda põhjusel, et isikuandmete säilitamistähtaeg on konkreetne ajavahemik, mille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jooksul andmeid säilitada tuleb ning mis tuleb määrata kindlaks juba enne andmete kogumist.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Andmete säilitustähtaeg on ühtlasi mõeldud garantiiks andmesubjektile, et tal oleks teada,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millise aja jooksul tal on võimalik esitada taotlus enda andmetega tutvumiseks. Seda kinnitab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ka IKÜM-i artikli 14 lõike 2 punkt a, mis ütleb, et kui andmed ei ole kogutud andmesubjektilt,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tuleb viimase suhtes õiglase ja läbipaistva töötlemise tagamiseks teatada, mis on isikuandmete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säilitamise tähtaeg. Järelikult ei ole säilitamistähtaeg mõeldud rakenduma selliselt, et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sätestatakse maksimaalne aeg, aga andmed võidakse kustutada ka varem – andmete säilitamise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kohustus eksisteerib kuni säilitamistähtaja lõpuni. Eeltoodud põhjustel palume lõike 7 viimane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tekstiosa eelnõust välja jätta.</w:t>
      </w:r>
      <w:r w:rsidR="00F043EC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42B3123" w14:textId="77777777" w:rsidR="0024437E" w:rsidRPr="001C41E7" w:rsidRDefault="0024437E" w:rsidP="0024437E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5DC28C" w14:textId="559D6B7B" w:rsidR="00F043EC" w:rsidRPr="001C41E7" w:rsidRDefault="00F043EC" w:rsidP="0024437E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Lõike 7 tekst muudatustega (lisatud osa alla joonitud</w:t>
      </w:r>
      <w:r w:rsidR="001E28D9" w:rsidRPr="001C41E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välja jäetud osa läbikriipsutatud): </w:t>
      </w:r>
    </w:p>
    <w:p w14:paraId="398B6556" w14:textId="77777777" w:rsidR="002E48E6" w:rsidRDefault="002E48E6" w:rsidP="009D2F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2B0EBC" w14:textId="7E485FAD" w:rsidR="004E41BB" w:rsidRPr="001C41E7" w:rsidRDefault="00F043EC" w:rsidP="009D2F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„(7) Numbrituvastuskaamera salvestis kantakse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politsei andmekogu ennetava tegevuse</w:t>
      </w:r>
      <w:r w:rsidR="009D2F5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andmestikku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ja seda säilitatakse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käesoleva seaduse §-s 8 sätestatud andmekogu ennetava tegevuse andmestikus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seal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45 kalendripäeva alates salvestise tegemisest. Numbrituvastuskaamera salvestist, mis kantakse teise andmestikku, säilitatakse vastava andmestiku säilitamistähtaja lõppemiseni.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või vajaduse äralangemisel kustutatakse</w:t>
      </w:r>
      <w:r w:rsidRPr="001C41E7">
        <w:rPr>
          <w:i/>
          <w:iCs/>
          <w:strike/>
        </w:rPr>
        <w:t xml:space="preserve">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numbrituvastuskaamera salvestist enne</w:t>
      </w:r>
      <w:r w:rsidRPr="001C41E7">
        <w:rPr>
          <w:i/>
          <w:iCs/>
          <w:strike/>
        </w:rPr>
        <w:t xml:space="preserve">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säilitamistähtaja lõppemist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. „</w:t>
      </w:r>
    </w:p>
    <w:p w14:paraId="382614C3" w14:textId="77777777" w:rsidR="0003443E" w:rsidRPr="001C41E7" w:rsidRDefault="0003443E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E1170A" w14:textId="1437B4F7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7. Logide säilitamine</w:t>
      </w:r>
    </w:p>
    <w:p w14:paraId="5C4D8E5F" w14:textId="6526D9D9" w:rsidR="0024437E" w:rsidRPr="001C41E7" w:rsidRDefault="004E41BB" w:rsidP="0024437E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Teeme ettepaneku </w:t>
      </w:r>
      <w:r w:rsidR="009D2F55">
        <w:rPr>
          <w:rFonts w:ascii="Times New Roman" w:hAnsi="Times New Roman" w:cs="Times New Roman"/>
          <w:i/>
          <w:iCs/>
          <w:sz w:val="24"/>
          <w:szCs w:val="24"/>
        </w:rPr>
        <w:t xml:space="preserve">muuta ja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sõnastada PPVS-i § 13</w:t>
      </w:r>
      <w:r w:rsidRPr="001C41E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lõige 8</w:t>
      </w:r>
      <w:r w:rsidR="009D2F55">
        <w:rPr>
          <w:rFonts w:ascii="Times New Roman" w:hAnsi="Times New Roman" w:cs="Times New Roman"/>
          <w:i/>
          <w:iCs/>
          <w:sz w:val="24"/>
          <w:szCs w:val="24"/>
        </w:rPr>
        <w:t xml:space="preserve"> järgmiselt</w:t>
      </w:r>
      <w:r w:rsidR="0024437E" w:rsidRPr="001C41E7">
        <w:rPr>
          <w:rFonts w:ascii="Times New Roman" w:hAnsi="Times New Roman" w:cs="Times New Roman"/>
          <w:i/>
          <w:iCs/>
          <w:sz w:val="24"/>
          <w:szCs w:val="24"/>
        </w:rPr>
        <w:t>. Lõike 8 tekst muudatustega (lisatud osa alla joonitud</w:t>
      </w:r>
      <w:r w:rsidR="00506E8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4437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välja jäetud osa läbikriipsutatud): </w:t>
      </w:r>
    </w:p>
    <w:p w14:paraId="6E2E03E6" w14:textId="77777777" w:rsidR="0024437E" w:rsidRPr="001C41E7" w:rsidRDefault="0024437E" w:rsidP="0024437E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5BBBF0" w14:textId="77777777" w:rsidR="0024437E" w:rsidRPr="001C41E7" w:rsidRDefault="0024437E" w:rsidP="0024437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„(8) Numbrituvastuskaamera </w:t>
      </w:r>
      <w:bookmarkStart w:id="8" w:name="_Hlk199433937"/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päringu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8"/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andmetöötluse logi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kohta säilitatakse 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järgmisi andmeid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kaks aastat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alates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päringu tegemisest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järgmised logiandmed</w:t>
      </w: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arvates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845AF78" w14:textId="77777777" w:rsidR="0024437E" w:rsidRPr="001C41E7" w:rsidRDefault="0024437E" w:rsidP="0024437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lastRenderedPageBreak/>
        <w:t>1) salvestise tegemise aeg ja koht;</w:t>
      </w:r>
    </w:p>
    <w:p w14:paraId="14695ACC" w14:textId="77777777" w:rsidR="0024437E" w:rsidRPr="001C41E7" w:rsidRDefault="0024437E" w:rsidP="0024437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2) mootorsõiduki või haagise registreerimisnumber;</w:t>
      </w:r>
    </w:p>
    <w:p w14:paraId="28CD1389" w14:textId="77777777" w:rsidR="0024437E" w:rsidRPr="001C41E7" w:rsidRDefault="0024437E" w:rsidP="0024437E">
      <w:pPr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3) salvestise kustutamise aeg; </w:t>
      </w:r>
    </w:p>
    <w:p w14:paraId="5E7336ED" w14:textId="77777777" w:rsidR="0024437E" w:rsidRPr="001C41E7" w:rsidRDefault="0024437E" w:rsidP="002443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3)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 4)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päringu tegija ees- ja perekonnanimi ning isikukood või asutus, arvestades riigisaladuse ja salastatud välisteabe seaduses sätestatut;</w:t>
      </w:r>
    </w:p>
    <w:p w14:paraId="050EF8DE" w14:textId="77777777" w:rsidR="0024437E" w:rsidRPr="001C41E7" w:rsidRDefault="0024437E" w:rsidP="002443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4)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5)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päringu kuupäev ja kellaaeg;</w:t>
      </w:r>
    </w:p>
    <w:p w14:paraId="2A6E1D2A" w14:textId="77777777" w:rsidR="0024437E" w:rsidRPr="001C41E7" w:rsidRDefault="0024437E" w:rsidP="002443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  <w:u w:val="single"/>
        </w:rPr>
        <w:t>5)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trike/>
          <w:sz w:val="24"/>
          <w:szCs w:val="24"/>
        </w:rPr>
        <w:t>6)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päringu liik ja põhjendus, arvestades käesoleva paragrahvi lõikes 6 sätestatut.“.</w:t>
      </w:r>
    </w:p>
    <w:p w14:paraId="57B977E4" w14:textId="77777777" w:rsidR="0003443E" w:rsidRPr="001C41E7" w:rsidRDefault="0003443E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1EF864" w14:textId="128E8522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Pakutud sõnastus on keeleliselt õigem, kuna andmetöötluse kohta tuleb pidada erinevaid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logisid, mitte logida ainult päringut. Praegune sõnastus ei kajasta täielikult andmetöötluse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logide olemust numbrituvastuskaamerate kontekstis. Logid ei hõlma üksnes volitatud ametnike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poolt kaamerasalvestiste päringute tegemist, vaid ka seda, et salvestis üldse tehti – logitud peab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olema info ka selle kohta, kus ja mis ajal sõidukit pildistati. Kui aga volitatud isik on konkreetse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andme kohta päringu esitanud, peab vastav logi säilima kaks aastat päringu tegemisest arvates.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Selline sõnastus tagab andmetöötluse läbipaistvuse ja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auditeeritavuse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ning on kooskõlas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andmekaitse nõuetega, võimaldades adekvaatselt dokumenteerida nii andmete tekkimist kui ka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nende kasutamist.</w:t>
      </w:r>
    </w:p>
    <w:p w14:paraId="19D14335" w14:textId="77777777" w:rsidR="0003443E" w:rsidRPr="001C41E7" w:rsidRDefault="0003443E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5F000D" w14:textId="6976B9AE" w:rsidR="004E41BB" w:rsidRPr="001C41E7" w:rsidRDefault="004E41BB" w:rsidP="0080448C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1E7">
        <w:rPr>
          <w:rFonts w:ascii="Times New Roman" w:hAnsi="Times New Roman" w:cs="Times New Roman"/>
          <w:i/>
          <w:iCs/>
          <w:sz w:val="24"/>
          <w:szCs w:val="24"/>
        </w:rPr>
        <w:t>Lisaks teeme ettepaneku eelnõust välja jätta kohustus logida salvestise kustutamise aega.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Arvestades, et andmete säilitustähtaeg on seadusega selgelt määratletud ja imperatiivne, tuleb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andmed tähtaja jooksul säilitada ning tähtpäeva saabumisel kustutada. Seetõttu on salvestise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>kustutamise aja eraldi logimine sisuliselt dubleeriv ega lisa täiendavat väärtust andmekaitse</w:t>
      </w:r>
      <w:r w:rsidR="0003443E"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1E7">
        <w:rPr>
          <w:rFonts w:ascii="Times New Roman" w:hAnsi="Times New Roman" w:cs="Times New Roman"/>
          <w:i/>
          <w:iCs/>
          <w:sz w:val="24"/>
          <w:szCs w:val="24"/>
        </w:rPr>
        <w:t xml:space="preserve">tagamisele ega </w:t>
      </w:r>
      <w:proofErr w:type="spellStart"/>
      <w:r w:rsidRPr="001C41E7">
        <w:rPr>
          <w:rFonts w:ascii="Times New Roman" w:hAnsi="Times New Roman" w:cs="Times New Roman"/>
          <w:i/>
          <w:iCs/>
          <w:sz w:val="24"/>
          <w:szCs w:val="24"/>
        </w:rPr>
        <w:t>auditeeritavusele</w:t>
      </w:r>
      <w:proofErr w:type="spellEnd"/>
      <w:r w:rsidRPr="001C41E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065D00" w14:textId="77777777" w:rsidR="004E41BB" w:rsidRPr="00990811" w:rsidRDefault="004E41BB" w:rsidP="0099081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AB0F2FF" w14:textId="77777777" w:rsidR="00990811" w:rsidRPr="00990811" w:rsidRDefault="00990811" w:rsidP="00990811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9081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Õiguskomisjon</w:t>
      </w:r>
    </w:p>
    <w:p w14:paraId="0166F323" w14:textId="4CEF35AC" w:rsidR="00990811" w:rsidRPr="00990811" w:rsidRDefault="00990811" w:rsidP="0099081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081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Juhtivkomisjon: </w:t>
      </w:r>
      <w:r w:rsidR="00727C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ARVESTADA TÄIELIKULT</w:t>
      </w:r>
    </w:p>
    <w:p w14:paraId="3469D005" w14:textId="77777777" w:rsidR="00990811" w:rsidRPr="00990811" w:rsidRDefault="00990811" w:rsidP="0099081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E28C1" w14:textId="3A3CB11D" w:rsidR="00990811" w:rsidRPr="00990811" w:rsidRDefault="00990811" w:rsidP="00990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811">
        <w:rPr>
          <w:rFonts w:ascii="Times New Roman" w:hAnsi="Times New Roman" w:cs="Times New Roman"/>
          <w:sz w:val="24"/>
          <w:szCs w:val="24"/>
        </w:rPr>
        <w:t xml:space="preserve">Esitab õiguskomisjon </w:t>
      </w:r>
      <w:r w:rsidR="00727C39">
        <w:rPr>
          <w:rFonts w:ascii="Times New Roman" w:hAnsi="Times New Roman" w:cs="Times New Roman"/>
          <w:sz w:val="24"/>
          <w:szCs w:val="24"/>
        </w:rPr>
        <w:t>22.09.</w:t>
      </w:r>
      <w:r w:rsidRPr="00990811">
        <w:rPr>
          <w:rFonts w:ascii="Times New Roman" w:hAnsi="Times New Roman" w:cs="Times New Roman"/>
          <w:sz w:val="24"/>
          <w:szCs w:val="24"/>
        </w:rPr>
        <w:t xml:space="preserve"> 202</w:t>
      </w:r>
      <w:r w:rsidR="003C7937">
        <w:rPr>
          <w:rFonts w:ascii="Times New Roman" w:hAnsi="Times New Roman" w:cs="Times New Roman"/>
          <w:sz w:val="24"/>
          <w:szCs w:val="24"/>
        </w:rPr>
        <w:t>5</w:t>
      </w:r>
      <w:r w:rsidRPr="00990811">
        <w:rPr>
          <w:rFonts w:ascii="Times New Roman" w:hAnsi="Times New Roman" w:cs="Times New Roman"/>
          <w:sz w:val="24"/>
          <w:szCs w:val="24"/>
        </w:rPr>
        <w:t>.</w:t>
      </w:r>
    </w:p>
    <w:p w14:paraId="7F8F5317" w14:textId="77777777" w:rsidR="00990811" w:rsidRPr="00990811" w:rsidRDefault="00990811" w:rsidP="00990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38973" w14:textId="77777777" w:rsidR="00990811" w:rsidRPr="00990811" w:rsidRDefault="00990811" w:rsidP="00990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CD06D" w14:textId="77777777" w:rsidR="00990811" w:rsidRPr="00990811" w:rsidRDefault="00990811" w:rsidP="00990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811">
        <w:rPr>
          <w:rFonts w:ascii="Times New Roman" w:hAnsi="Times New Roman" w:cs="Times New Roman"/>
          <w:sz w:val="24"/>
          <w:szCs w:val="24"/>
        </w:rPr>
        <w:t>(kinnitatud digitaalselt)</w:t>
      </w:r>
    </w:p>
    <w:p w14:paraId="646A0C3C" w14:textId="77777777" w:rsidR="00990811" w:rsidRDefault="00990811" w:rsidP="00990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Madis Timpson</w:t>
      </w:r>
    </w:p>
    <w:p w14:paraId="402C97CC" w14:textId="54A54C39" w:rsidR="00990811" w:rsidRPr="00990811" w:rsidRDefault="00990811" w:rsidP="00990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811">
        <w:rPr>
          <w:rFonts w:ascii="Times New Roman" w:hAnsi="Times New Roman" w:cs="Times New Roman"/>
          <w:sz w:val="24"/>
          <w:szCs w:val="24"/>
        </w:rPr>
        <w:t>Õiguskomisjoni esimees</w:t>
      </w:r>
    </w:p>
    <w:p w14:paraId="09C8551D" w14:textId="77777777" w:rsidR="00990811" w:rsidRPr="00990811" w:rsidRDefault="00990811" w:rsidP="00990811"/>
    <w:sectPr w:rsidR="00990811" w:rsidRPr="00990811" w:rsidSect="00990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4F5"/>
    <w:multiLevelType w:val="hybridMultilevel"/>
    <w:tmpl w:val="7A265F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792C"/>
    <w:multiLevelType w:val="hybridMultilevel"/>
    <w:tmpl w:val="72A0E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2A96"/>
    <w:multiLevelType w:val="hybridMultilevel"/>
    <w:tmpl w:val="38DA80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2F5C"/>
    <w:multiLevelType w:val="hybridMultilevel"/>
    <w:tmpl w:val="72A0E6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D11F2"/>
    <w:multiLevelType w:val="hybridMultilevel"/>
    <w:tmpl w:val="72A0E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A3616"/>
    <w:multiLevelType w:val="hybridMultilevel"/>
    <w:tmpl w:val="72A0E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E7760"/>
    <w:multiLevelType w:val="hybridMultilevel"/>
    <w:tmpl w:val="72A0E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35552"/>
    <w:multiLevelType w:val="multilevel"/>
    <w:tmpl w:val="D08AE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7952D8"/>
    <w:multiLevelType w:val="hybridMultilevel"/>
    <w:tmpl w:val="72A0E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F0A7C"/>
    <w:multiLevelType w:val="hybridMultilevel"/>
    <w:tmpl w:val="16761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9597A"/>
    <w:multiLevelType w:val="hybridMultilevel"/>
    <w:tmpl w:val="AD4EF7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32186"/>
    <w:multiLevelType w:val="hybridMultilevel"/>
    <w:tmpl w:val="72A0E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678F0"/>
    <w:multiLevelType w:val="multilevel"/>
    <w:tmpl w:val="D0E6AFF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40"/>
      </w:rPr>
    </w:lvl>
  </w:abstractNum>
  <w:abstractNum w:abstractNumId="13" w15:restartNumberingAfterBreak="0">
    <w:nsid w:val="78C73C91"/>
    <w:multiLevelType w:val="hybridMultilevel"/>
    <w:tmpl w:val="72A0E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26242"/>
    <w:multiLevelType w:val="hybridMultilevel"/>
    <w:tmpl w:val="72A0E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505CE"/>
    <w:multiLevelType w:val="hybridMultilevel"/>
    <w:tmpl w:val="72A0E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74962">
    <w:abstractNumId w:val="9"/>
  </w:num>
  <w:num w:numId="2" w16cid:durableId="956528873">
    <w:abstractNumId w:val="3"/>
  </w:num>
  <w:num w:numId="3" w16cid:durableId="1482650273">
    <w:abstractNumId w:val="14"/>
  </w:num>
  <w:num w:numId="4" w16cid:durableId="1308974826">
    <w:abstractNumId w:val="15"/>
  </w:num>
  <w:num w:numId="5" w16cid:durableId="407003981">
    <w:abstractNumId w:val="5"/>
  </w:num>
  <w:num w:numId="6" w16cid:durableId="1112238679">
    <w:abstractNumId w:val="13"/>
  </w:num>
  <w:num w:numId="7" w16cid:durableId="1015495425">
    <w:abstractNumId w:val="11"/>
  </w:num>
  <w:num w:numId="8" w16cid:durableId="1703704621">
    <w:abstractNumId w:val="8"/>
  </w:num>
  <w:num w:numId="9" w16cid:durableId="758988492">
    <w:abstractNumId w:val="4"/>
  </w:num>
  <w:num w:numId="10" w16cid:durableId="1673138952">
    <w:abstractNumId w:val="1"/>
  </w:num>
  <w:num w:numId="11" w16cid:durableId="2129353451">
    <w:abstractNumId w:val="6"/>
  </w:num>
  <w:num w:numId="12" w16cid:durableId="1911771308">
    <w:abstractNumId w:val="2"/>
  </w:num>
  <w:num w:numId="13" w16cid:durableId="1196387380">
    <w:abstractNumId w:val="10"/>
  </w:num>
  <w:num w:numId="14" w16cid:durableId="1286351238">
    <w:abstractNumId w:val="0"/>
  </w:num>
  <w:num w:numId="15" w16cid:durableId="653677976">
    <w:abstractNumId w:val="12"/>
  </w:num>
  <w:num w:numId="16" w16cid:durableId="1668367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11"/>
    <w:rsid w:val="0003443E"/>
    <w:rsid w:val="00067F5A"/>
    <w:rsid w:val="00096839"/>
    <w:rsid w:val="000D2C7E"/>
    <w:rsid w:val="000E5E7E"/>
    <w:rsid w:val="000E6FAF"/>
    <w:rsid w:val="001326B6"/>
    <w:rsid w:val="001C41E7"/>
    <w:rsid w:val="001E28D9"/>
    <w:rsid w:val="00211DEA"/>
    <w:rsid w:val="002356C5"/>
    <w:rsid w:val="0024437E"/>
    <w:rsid w:val="0025504A"/>
    <w:rsid w:val="0026591D"/>
    <w:rsid w:val="002A0959"/>
    <w:rsid w:val="002D4B37"/>
    <w:rsid w:val="002E48E6"/>
    <w:rsid w:val="00322E43"/>
    <w:rsid w:val="003C7937"/>
    <w:rsid w:val="004014E9"/>
    <w:rsid w:val="00401511"/>
    <w:rsid w:val="004E41BB"/>
    <w:rsid w:val="00506E8E"/>
    <w:rsid w:val="00594DCD"/>
    <w:rsid w:val="006766EF"/>
    <w:rsid w:val="0072031E"/>
    <w:rsid w:val="00727C39"/>
    <w:rsid w:val="007B382D"/>
    <w:rsid w:val="0080448C"/>
    <w:rsid w:val="00843794"/>
    <w:rsid w:val="00861167"/>
    <w:rsid w:val="00865C98"/>
    <w:rsid w:val="008E4169"/>
    <w:rsid w:val="00990811"/>
    <w:rsid w:val="00993BBC"/>
    <w:rsid w:val="009B46E5"/>
    <w:rsid w:val="009D2F55"/>
    <w:rsid w:val="00A43935"/>
    <w:rsid w:val="00CF216B"/>
    <w:rsid w:val="00D56EB5"/>
    <w:rsid w:val="00E12133"/>
    <w:rsid w:val="00E87944"/>
    <w:rsid w:val="00F043EC"/>
    <w:rsid w:val="00F5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B0D5"/>
  <w15:chartTrackingRefBased/>
  <w15:docId w15:val="{8FB47F5F-EB8D-49D1-9488-7389D60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90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90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90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90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90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90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90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90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90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90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90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90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9081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9081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908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908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908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908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90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90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90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90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90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908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908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9081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90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9081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90811"/>
    <w:rPr>
      <w:b/>
      <w:bCs/>
      <w:smallCaps/>
      <w:color w:val="0F4761" w:themeColor="accent1" w:themeShade="BF"/>
      <w:spacing w:val="5"/>
    </w:rPr>
  </w:style>
  <w:style w:type="numbering" w:customStyle="1" w:styleId="Loendita1">
    <w:name w:val="Loendita1"/>
    <w:next w:val="Loendita"/>
    <w:uiPriority w:val="99"/>
    <w:semiHidden/>
    <w:unhideWhenUsed/>
    <w:rsid w:val="00990811"/>
  </w:style>
  <w:style w:type="paragraph" w:styleId="Vahedeta">
    <w:name w:val="No Spacing"/>
    <w:uiPriority w:val="1"/>
    <w:qFormat/>
    <w:rsid w:val="00990811"/>
    <w:pPr>
      <w:spacing w:after="0" w:line="240" w:lineRule="auto"/>
    </w:pPr>
    <w:rPr>
      <w:kern w:val="0"/>
      <w14:ligatures w14:val="none"/>
    </w:rPr>
  </w:style>
  <w:style w:type="paragraph" w:customStyle="1" w:styleId="Normaallaad1">
    <w:name w:val="Normaallaad1"/>
    <w:basedOn w:val="Normaallaad"/>
    <w:rsid w:val="0099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seadusetekst">
    <w:name w:val="seaduse tekst"/>
    <w:basedOn w:val="Normaallaad"/>
    <w:qFormat/>
    <w:rsid w:val="00990811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elnupealkiri">
    <w:name w:val="eelnõu pealkiri"/>
    <w:basedOn w:val="Normaallaad"/>
    <w:qFormat/>
    <w:rsid w:val="00990811"/>
    <w:pPr>
      <w:widowControl w:val="0"/>
      <w:autoSpaceDN w:val="0"/>
      <w:adjustRightInd w:val="0"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4"/>
      <w:lang w:eastAsia="et-EE"/>
      <w14:ligatures w14:val="none"/>
    </w:rPr>
  </w:style>
  <w:style w:type="character" w:customStyle="1" w:styleId="cf01">
    <w:name w:val="cf01"/>
    <w:basedOn w:val="Liguvaikefont"/>
    <w:rsid w:val="00990811"/>
    <w:rPr>
      <w:rFonts w:ascii="Segoe UI" w:hAnsi="Segoe UI" w:cs="Segoe UI" w:hint="default"/>
      <w:sz w:val="18"/>
      <w:szCs w:val="18"/>
    </w:rPr>
  </w:style>
  <w:style w:type="paragraph" w:customStyle="1" w:styleId="muudatustesissejuhatus">
    <w:name w:val="muudatuste sissejuhatus"/>
    <w:basedOn w:val="Normaallaad"/>
    <w:next w:val="muutmisksk"/>
    <w:qFormat/>
    <w:rsid w:val="00990811"/>
    <w:pPr>
      <w:keepNext/>
      <w:keepLines/>
      <w:widowControl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muutmisksk">
    <w:name w:val="muutmiskäsk"/>
    <w:basedOn w:val="Normaallaad"/>
    <w:qFormat/>
    <w:rsid w:val="00990811"/>
    <w:pPr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muudetavtekst">
    <w:name w:val="muudetav tekst"/>
    <w:basedOn w:val="Normaallaad"/>
    <w:qFormat/>
    <w:rsid w:val="00990811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pealkiri0">
    <w:name w:val="§_pealkiri"/>
    <w:basedOn w:val="Normaallaad"/>
    <w:qFormat/>
    <w:rsid w:val="00990811"/>
    <w:pPr>
      <w:keepNext/>
      <w:keepLines/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99081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99081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90811"/>
    <w:rPr>
      <w:rFonts w:ascii="Times New Roman" w:hAnsi="Times New Roman"/>
      <w:sz w:val="20"/>
      <w:szCs w:val="20"/>
    </w:rPr>
  </w:style>
  <w:style w:type="paragraph" w:customStyle="1" w:styleId="muudetavtekstboldis">
    <w:name w:val="muudetav tekst boldis"/>
    <w:basedOn w:val="muudetavtekst"/>
    <w:qFormat/>
    <w:rsid w:val="00990811"/>
    <w:rPr>
      <w:rFonts w:eastAsia="MS Gothic"/>
      <w:b/>
    </w:rPr>
  </w:style>
  <w:style w:type="paragraph" w:styleId="Redaktsioon">
    <w:name w:val="Revision"/>
    <w:hidden/>
    <w:uiPriority w:val="99"/>
    <w:semiHidden/>
    <w:rsid w:val="00990811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90811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90811"/>
    <w:rPr>
      <w:rFonts w:ascii="Times New Roman" w:hAnsi="Times New Roman"/>
      <w:b/>
      <w:bCs/>
      <w:sz w:val="20"/>
      <w:szCs w:val="20"/>
    </w:rPr>
  </w:style>
  <w:style w:type="character" w:customStyle="1" w:styleId="cf11">
    <w:name w:val="cf11"/>
    <w:basedOn w:val="Liguvaikefont"/>
    <w:rsid w:val="00990811"/>
    <w:rPr>
      <w:rFonts w:ascii="Segoe UI" w:hAnsi="Segoe UI" w:cs="Segoe UI" w:hint="default"/>
      <w:sz w:val="18"/>
      <w:szCs w:val="18"/>
      <w:u w:val="single"/>
    </w:rPr>
  </w:style>
  <w:style w:type="paragraph" w:customStyle="1" w:styleId="muudetavtekstalljoonega">
    <w:name w:val="muudetav tekst alljoonega"/>
    <w:basedOn w:val="muudetavtekst"/>
    <w:qFormat/>
    <w:rsid w:val="0040151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2713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 Laide</dc:creator>
  <cp:keywords/>
  <dc:description/>
  <cp:lastModifiedBy>Raini Laide</cp:lastModifiedBy>
  <cp:revision>8</cp:revision>
  <dcterms:created xsi:type="dcterms:W3CDTF">2025-09-19T14:34:00Z</dcterms:created>
  <dcterms:modified xsi:type="dcterms:W3CDTF">2025-09-22T11:24:00Z</dcterms:modified>
</cp:coreProperties>
</file>