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186EAF" w14:textId="5228E4F6" w:rsidR="00203C55" w:rsidRPr="00100DD8" w:rsidRDefault="00203C55" w:rsidP="00203C55">
      <w:pPr>
        <w:jc w:val="center"/>
        <w:rPr>
          <w:rFonts w:ascii="Times New Roman" w:hAnsi="Times New Roman" w:cs="Times New Roman"/>
          <w:b/>
          <w:bCs/>
          <w:sz w:val="24"/>
          <w:szCs w:val="24"/>
        </w:rPr>
      </w:pPr>
      <w:r w:rsidRPr="00100DD8">
        <w:rPr>
          <w:rFonts w:ascii="Times New Roman" w:hAnsi="Times New Roman" w:cs="Times New Roman"/>
          <w:b/>
          <w:bCs/>
          <w:sz w:val="24"/>
          <w:szCs w:val="24"/>
        </w:rPr>
        <w:br/>
        <w:t>Eesti Vabariigi põhiseaduse muutmise seaduse</w:t>
      </w:r>
      <w:r w:rsidR="00322AC8">
        <w:rPr>
          <w:rFonts w:ascii="Times New Roman" w:hAnsi="Times New Roman" w:cs="Times New Roman"/>
          <w:b/>
          <w:bCs/>
          <w:sz w:val="24"/>
          <w:szCs w:val="24"/>
        </w:rPr>
        <w:t xml:space="preserve"> eelnõu</w:t>
      </w:r>
      <w:r w:rsidRPr="00100DD8">
        <w:rPr>
          <w:rFonts w:ascii="Times New Roman" w:hAnsi="Times New Roman" w:cs="Times New Roman"/>
          <w:b/>
          <w:bCs/>
          <w:sz w:val="24"/>
          <w:szCs w:val="24"/>
        </w:rPr>
        <w:t xml:space="preserve"> </w:t>
      </w:r>
      <w:r w:rsidR="00322AC8">
        <w:rPr>
          <w:rFonts w:ascii="Times New Roman" w:hAnsi="Times New Roman" w:cs="Times New Roman"/>
          <w:b/>
          <w:bCs/>
          <w:sz w:val="24"/>
          <w:szCs w:val="24"/>
        </w:rPr>
        <w:t>s</w:t>
      </w:r>
      <w:r w:rsidR="00322AC8" w:rsidRPr="000101EC">
        <w:rPr>
          <w:rFonts w:ascii="Times New Roman" w:hAnsi="Times New Roman" w:cs="Times New Roman"/>
          <w:b/>
          <w:bCs/>
          <w:sz w:val="24"/>
          <w:szCs w:val="24"/>
        </w:rPr>
        <w:t>eletuskiri</w:t>
      </w:r>
      <w:r w:rsidRPr="00100DD8">
        <w:rPr>
          <w:rFonts w:ascii="Times New Roman" w:hAnsi="Times New Roman" w:cs="Times New Roman"/>
          <w:b/>
          <w:bCs/>
          <w:sz w:val="24"/>
          <w:szCs w:val="24"/>
        </w:rPr>
        <w:br/>
      </w:r>
    </w:p>
    <w:p w14:paraId="6F5AF481" w14:textId="77777777" w:rsidR="00203C55" w:rsidRPr="0090577F" w:rsidRDefault="00203C55" w:rsidP="00203C55">
      <w:pPr>
        <w:keepNext/>
        <w:spacing w:before="480" w:after="240"/>
        <w:jc w:val="both"/>
        <w:rPr>
          <w:rFonts w:ascii="Times New Roman" w:hAnsi="Times New Roman" w:cs="Times New Roman"/>
          <w:b/>
          <w:bCs/>
          <w:sz w:val="24"/>
          <w:szCs w:val="24"/>
          <w:shd w:val="clear" w:color="auto" w:fill="FFFFFF"/>
        </w:rPr>
      </w:pPr>
      <w:r w:rsidRPr="0090577F">
        <w:rPr>
          <w:rFonts w:ascii="Times New Roman" w:hAnsi="Times New Roman" w:cs="Times New Roman"/>
          <w:b/>
          <w:bCs/>
          <w:sz w:val="24"/>
          <w:szCs w:val="24"/>
          <w:shd w:val="clear" w:color="auto" w:fill="FFFFFF"/>
        </w:rPr>
        <w:t>1. Sissejuhatus ja seaduse eesmärk</w:t>
      </w:r>
    </w:p>
    <w:p w14:paraId="56266067" w14:textId="4C486396" w:rsidR="00015112" w:rsidRDefault="00015112" w:rsidP="00203C55">
      <w:pPr>
        <w:pStyle w:val="paragraph"/>
        <w:keepNext/>
        <w:shd w:val="clear" w:color="auto" w:fill="FFFFFF"/>
        <w:spacing w:before="240" w:beforeAutospacing="0" w:after="0" w:afterAutospacing="0"/>
        <w:jc w:val="both"/>
      </w:pPr>
      <w:r>
        <w:t>Põhiseaduslike väärtuste ja demokraatliku õigusruumi kait</w:t>
      </w:r>
      <w:r w:rsidR="00D26F07">
        <w:t>s</w:t>
      </w:r>
      <w:r>
        <w:t xml:space="preserve">miseks määratleme selgemalt, milliste riikide kodanikel ja Eestis püsivalt elavatel kodakondsuseta isikutel on õigus osaleda kohaliku omavalitsuse </w:t>
      </w:r>
      <w:r w:rsidR="00D26F07">
        <w:t xml:space="preserve">volikogu </w:t>
      </w:r>
      <w:r>
        <w:t>valimisel.</w:t>
      </w:r>
      <w:r w:rsidR="006628F8">
        <w:t xml:space="preserve"> Põhiseaduse muudatus annab hääleõiguse kohaliku omavalitsuse volikogu valimisel Eesti riigiga demokraatlikke väärtusi jagavatele ja kattuvaid julgeolekuhuve omavate riikide kodanikele ning Eestis elavatele kodakondsuseta isikutele, kellel ei ole ühegi teise riigiga lojaalsus- ega muid kohustusi.  </w:t>
      </w:r>
    </w:p>
    <w:p w14:paraId="0F62FD44" w14:textId="18068C8A" w:rsidR="00203C55" w:rsidRPr="0090577F" w:rsidRDefault="00203C55" w:rsidP="00203C55">
      <w:pPr>
        <w:pStyle w:val="paragraph"/>
        <w:keepNext/>
        <w:shd w:val="clear" w:color="auto" w:fill="FFFFFF"/>
        <w:spacing w:before="240" w:beforeAutospacing="0" w:after="0" w:afterAutospacing="0"/>
        <w:jc w:val="both"/>
      </w:pPr>
      <w:r w:rsidRPr="0090577F">
        <w:t>Eelnõu algatamise õiguslikuks aluseks on Eesti Vabariigi põhiseaduse § 161 lõige 1, mille kohaselt on õigus algatada põhiseaduse muutmist vähemalt viiendikul Riigikogu koosseisust. Põhiseaduse § 163 kohaselt saab põhiseadust muuta seadusega, mis on vastu võetud:</w:t>
      </w:r>
    </w:p>
    <w:p w14:paraId="639ACBAE" w14:textId="77777777" w:rsidR="00203C55" w:rsidRPr="0090577F" w:rsidRDefault="00203C55" w:rsidP="00203C55">
      <w:pPr>
        <w:pStyle w:val="paragraph"/>
        <w:shd w:val="clear" w:color="auto" w:fill="FFFFFF"/>
        <w:spacing w:before="0" w:beforeAutospacing="0" w:after="0" w:afterAutospacing="0"/>
        <w:jc w:val="both"/>
      </w:pPr>
      <w:r w:rsidRPr="0090577F">
        <w:t>1)</w:t>
      </w:r>
      <w:r w:rsidRPr="0090577F">
        <w:rPr>
          <w:rFonts w:eastAsiaTheme="majorEastAsia"/>
          <w:bdr w:val="none" w:sz="0" w:space="0" w:color="auto" w:frame="1"/>
        </w:rPr>
        <w:t> </w:t>
      </w:r>
      <w:r w:rsidRPr="0090577F">
        <w:t>rahvahääletusel;</w:t>
      </w:r>
    </w:p>
    <w:p w14:paraId="4484B1F8" w14:textId="77777777" w:rsidR="00203C55" w:rsidRPr="0090577F" w:rsidRDefault="00203C55" w:rsidP="00203C55">
      <w:pPr>
        <w:pStyle w:val="paragraph"/>
        <w:shd w:val="clear" w:color="auto" w:fill="FFFFFF"/>
        <w:spacing w:before="0" w:beforeAutospacing="0" w:after="0" w:afterAutospacing="0"/>
        <w:jc w:val="both"/>
      </w:pPr>
      <w:r w:rsidRPr="0090577F">
        <w:t>2)</w:t>
      </w:r>
      <w:r w:rsidRPr="0090577F">
        <w:rPr>
          <w:rFonts w:eastAsiaTheme="majorEastAsia"/>
          <w:bdr w:val="none" w:sz="0" w:space="0" w:color="auto" w:frame="1"/>
        </w:rPr>
        <w:t> </w:t>
      </w:r>
      <w:r w:rsidRPr="0090577F">
        <w:t>Riigikogu kahe järjestikuse koosseisu poolt;</w:t>
      </w:r>
    </w:p>
    <w:p w14:paraId="31AC562E" w14:textId="77777777" w:rsidR="00203C55" w:rsidRPr="0090577F" w:rsidRDefault="00203C55" w:rsidP="00203C55">
      <w:pPr>
        <w:pStyle w:val="paragraph"/>
        <w:shd w:val="clear" w:color="auto" w:fill="FFFFFF"/>
        <w:spacing w:before="0" w:beforeAutospacing="0" w:after="240" w:afterAutospacing="0"/>
        <w:jc w:val="both"/>
      </w:pPr>
      <w:r w:rsidRPr="0090577F">
        <w:t>3)</w:t>
      </w:r>
      <w:r w:rsidRPr="0090577F">
        <w:rPr>
          <w:rFonts w:eastAsiaTheme="majorEastAsia"/>
          <w:bdr w:val="none" w:sz="0" w:space="0" w:color="auto" w:frame="1"/>
        </w:rPr>
        <w:t> </w:t>
      </w:r>
      <w:r w:rsidRPr="0090577F">
        <w:t>Riigikogu poolt kiireloomulisena.</w:t>
      </w:r>
    </w:p>
    <w:p w14:paraId="3B72E972" w14:textId="77777777" w:rsidR="00203C55" w:rsidRPr="0090577F" w:rsidRDefault="00203C55" w:rsidP="00203C55">
      <w:pPr>
        <w:pStyle w:val="Normaallaadveeb"/>
        <w:shd w:val="clear" w:color="auto" w:fill="FFFFFF"/>
        <w:spacing w:before="240" w:beforeAutospacing="0" w:after="240" w:afterAutospacing="0"/>
        <w:jc w:val="both"/>
        <w:rPr>
          <w:bdr w:val="none" w:sz="0" w:space="0" w:color="auto" w:frame="1"/>
        </w:rPr>
      </w:pPr>
      <w:r w:rsidRPr="0090577F">
        <w:t>Põhiseaduse muutmise seaduse eelnõu arutatakse Riigikogus kolmel lugemisel, kusjuures esimese ja teise lugemise vahel on vähemalt kolm kuud ning teise ja kolmanda lugemise vahel vähemalt üks kuu. Põhiseaduse muutmise viis otsustatakse kolmandal lugemisel.</w:t>
      </w:r>
    </w:p>
    <w:p w14:paraId="42727FDF" w14:textId="77777777" w:rsidR="00203C55" w:rsidRPr="0090577F" w:rsidRDefault="00203C55" w:rsidP="00203C55">
      <w:pPr>
        <w:spacing w:before="240" w:after="240"/>
        <w:jc w:val="both"/>
        <w:rPr>
          <w:rFonts w:ascii="Times New Roman" w:hAnsi="Times New Roman" w:cs="Times New Roman"/>
          <w:sz w:val="24"/>
          <w:szCs w:val="24"/>
          <w:lang w:eastAsia="et-EE"/>
        </w:rPr>
      </w:pPr>
      <w:r w:rsidRPr="0090577F">
        <w:rPr>
          <w:rFonts w:ascii="Times New Roman" w:hAnsi="Times New Roman" w:cs="Times New Roman"/>
          <w:sz w:val="24"/>
          <w:szCs w:val="24"/>
          <w:lang w:eastAsia="et-EE"/>
        </w:rPr>
        <w:t>Vastavalt Riigikogu kodu- ja töökorra seaduse § 122 lõikele 3 märgib põhiseaduse muutmise seaduse eelnõu algataja seletuskirjas, millist põhiseaduse muutmise viisi ta kasutada soovib.</w:t>
      </w:r>
    </w:p>
    <w:p w14:paraId="3DA07676" w14:textId="000CAA4B" w:rsidR="00203C55" w:rsidRPr="0090577F" w:rsidRDefault="00203C55" w:rsidP="00203C55">
      <w:pPr>
        <w:spacing w:before="240" w:after="240"/>
        <w:jc w:val="both"/>
        <w:rPr>
          <w:rFonts w:ascii="Times New Roman" w:hAnsi="Times New Roman" w:cs="Times New Roman"/>
          <w:sz w:val="24"/>
          <w:szCs w:val="24"/>
        </w:rPr>
      </w:pPr>
      <w:r w:rsidRPr="0090577F">
        <w:rPr>
          <w:rFonts w:ascii="Times New Roman" w:hAnsi="Times New Roman" w:cs="Times New Roman"/>
          <w:sz w:val="24"/>
          <w:szCs w:val="24"/>
        </w:rPr>
        <w:t>Kõnesoleva eelnõu puhul on valitud aluseks põhiseaduse § 163 lg 1 p</w:t>
      </w:r>
      <w:r w:rsidR="00AA502B" w:rsidRPr="0090577F">
        <w:rPr>
          <w:rFonts w:ascii="Times New Roman" w:hAnsi="Times New Roman" w:cs="Times New Roman"/>
          <w:sz w:val="24"/>
          <w:szCs w:val="24"/>
        </w:rPr>
        <w:t xml:space="preserve"> 3 (põhiseaduse muutmine kiireloomulisena).</w:t>
      </w:r>
    </w:p>
    <w:p w14:paraId="7E90B79A" w14:textId="3093B218" w:rsidR="00AA502B" w:rsidRPr="0090577F" w:rsidRDefault="00203C55" w:rsidP="00AA502B">
      <w:pPr>
        <w:jc w:val="both"/>
        <w:rPr>
          <w:rFonts w:ascii="Times New Roman" w:hAnsi="Times New Roman" w:cs="Times New Roman"/>
          <w:sz w:val="24"/>
          <w:szCs w:val="24"/>
        </w:rPr>
      </w:pPr>
      <w:r w:rsidRPr="0090577F">
        <w:rPr>
          <w:rFonts w:ascii="Times New Roman" w:hAnsi="Times New Roman" w:cs="Times New Roman"/>
          <w:spacing w:val="-2"/>
          <w:sz w:val="24"/>
          <w:szCs w:val="24"/>
        </w:rPr>
        <w:t>Eelnõu eesmärk on kehtestada kodakondsustsensus ehk näha ette, et kohaliku omavalitsuse volikogu valimistel on hääleõiguslikud selle omavalitsuse maa-alal püsivalt elavad</w:t>
      </w:r>
      <w:r w:rsidR="00AA502B" w:rsidRPr="0090577F">
        <w:rPr>
          <w:rFonts w:ascii="Times New Roman" w:hAnsi="Times New Roman" w:cs="Times New Roman"/>
          <w:spacing w:val="-2"/>
          <w:sz w:val="24"/>
          <w:szCs w:val="24"/>
        </w:rPr>
        <w:t xml:space="preserve"> </w:t>
      </w:r>
      <w:r w:rsidR="00AA502B" w:rsidRPr="0090577F">
        <w:rPr>
          <w:rFonts w:ascii="Times New Roman" w:hAnsi="Times New Roman" w:cs="Times New Roman"/>
          <w:sz w:val="24"/>
          <w:szCs w:val="24"/>
        </w:rPr>
        <w:t>Eesti kodanikud,</w:t>
      </w:r>
      <w:r w:rsidR="00F446C0" w:rsidRPr="0090577F">
        <w:rPr>
          <w:rFonts w:ascii="Times New Roman" w:hAnsi="Times New Roman" w:cs="Times New Roman"/>
          <w:sz w:val="24"/>
          <w:szCs w:val="24"/>
        </w:rPr>
        <w:t xml:space="preserve"> </w:t>
      </w:r>
      <w:r w:rsidR="00F446C0" w:rsidRPr="00100DD8">
        <w:rPr>
          <w:rFonts w:ascii="Times New Roman" w:hAnsi="Times New Roman" w:cs="Times New Roman"/>
          <w:sz w:val="24"/>
          <w:szCs w:val="24"/>
        </w:rPr>
        <w:t>kodakondsuseta isikud,</w:t>
      </w:r>
      <w:r w:rsidR="00AA502B" w:rsidRPr="0090577F">
        <w:rPr>
          <w:rFonts w:ascii="Times New Roman" w:hAnsi="Times New Roman" w:cs="Times New Roman"/>
          <w:sz w:val="24"/>
          <w:szCs w:val="24"/>
        </w:rPr>
        <w:t xml:space="preserve"> Euroopa Liidu kodanikud</w:t>
      </w:r>
      <w:r w:rsidR="00F446C0" w:rsidRPr="0090577F">
        <w:rPr>
          <w:rFonts w:ascii="Times New Roman" w:hAnsi="Times New Roman" w:cs="Times New Roman"/>
          <w:sz w:val="24"/>
          <w:szCs w:val="24"/>
        </w:rPr>
        <w:t xml:space="preserve"> ja</w:t>
      </w:r>
      <w:r w:rsidR="00AA502B" w:rsidRPr="0090577F">
        <w:rPr>
          <w:rFonts w:ascii="Times New Roman" w:hAnsi="Times New Roman" w:cs="Times New Roman"/>
          <w:sz w:val="24"/>
          <w:szCs w:val="24"/>
        </w:rPr>
        <w:t xml:space="preserve"> Põhja-Atlandi Lepingu Organisatsiooni osalisriigi kodanikud</w:t>
      </w:r>
      <w:r w:rsidR="00F446C0" w:rsidRPr="0090577F">
        <w:rPr>
          <w:rFonts w:ascii="Times New Roman" w:hAnsi="Times New Roman" w:cs="Times New Roman"/>
          <w:color w:val="202020"/>
          <w:sz w:val="24"/>
          <w:szCs w:val="24"/>
          <w:shd w:val="clear" w:color="auto" w:fill="FFFFFF"/>
        </w:rPr>
        <w:t xml:space="preserve">, </w:t>
      </w:r>
      <w:r w:rsidR="00AA502B" w:rsidRPr="0090577F">
        <w:rPr>
          <w:rFonts w:ascii="Times New Roman" w:hAnsi="Times New Roman" w:cs="Times New Roman"/>
          <w:sz w:val="24"/>
          <w:szCs w:val="24"/>
        </w:rPr>
        <w:t>kes on vähemalt kuusteist aastat vanad.</w:t>
      </w:r>
    </w:p>
    <w:p w14:paraId="62BAB1B7" w14:textId="77777777" w:rsidR="00203C55" w:rsidRPr="0090577F" w:rsidRDefault="00203C55" w:rsidP="00203C55">
      <w:pPr>
        <w:keepNext/>
        <w:spacing w:before="480" w:after="240"/>
        <w:jc w:val="both"/>
        <w:rPr>
          <w:rFonts w:ascii="Times New Roman" w:hAnsi="Times New Roman" w:cs="Times New Roman"/>
          <w:b/>
          <w:bCs/>
          <w:sz w:val="24"/>
          <w:szCs w:val="24"/>
          <w:shd w:val="clear" w:color="auto" w:fill="FFFFFF"/>
        </w:rPr>
      </w:pPr>
      <w:r w:rsidRPr="0090577F">
        <w:rPr>
          <w:rFonts w:ascii="Times New Roman" w:hAnsi="Times New Roman" w:cs="Times New Roman"/>
          <w:b/>
          <w:bCs/>
          <w:sz w:val="24"/>
          <w:szCs w:val="24"/>
          <w:shd w:val="clear" w:color="auto" w:fill="FFFFFF"/>
        </w:rPr>
        <w:t>2. Eelnõu sisu ja võrdlev analüüs</w:t>
      </w:r>
    </w:p>
    <w:p w14:paraId="2F40AA66" w14:textId="77777777" w:rsidR="00203C55" w:rsidRPr="0090577F" w:rsidRDefault="00203C55" w:rsidP="00203C55">
      <w:pPr>
        <w:keepNext/>
        <w:spacing w:before="240" w:after="120"/>
        <w:jc w:val="both"/>
        <w:rPr>
          <w:rFonts w:ascii="Times New Roman" w:hAnsi="Times New Roman" w:cs="Times New Roman"/>
          <w:b/>
          <w:bCs/>
          <w:sz w:val="24"/>
          <w:szCs w:val="24"/>
        </w:rPr>
      </w:pPr>
      <w:r w:rsidRPr="0090577F">
        <w:rPr>
          <w:rFonts w:ascii="Times New Roman" w:hAnsi="Times New Roman" w:cs="Times New Roman"/>
          <w:b/>
          <w:bCs/>
          <w:sz w:val="24"/>
          <w:szCs w:val="24"/>
        </w:rPr>
        <w:t>Kehtiv rahvusvaheline raamistik ja riigisisene regulatsioon</w:t>
      </w:r>
    </w:p>
    <w:p w14:paraId="5ED5DAA1" w14:textId="2D240F39" w:rsidR="00203C55" w:rsidRPr="0090577F" w:rsidRDefault="00203C55" w:rsidP="00203C55">
      <w:pPr>
        <w:shd w:val="clear" w:color="auto" w:fill="FFFFFF"/>
        <w:spacing w:before="120" w:after="120"/>
        <w:jc w:val="both"/>
        <w:rPr>
          <w:rFonts w:ascii="Times New Roman" w:eastAsia="Times New Roman" w:hAnsi="Times New Roman" w:cs="Times New Roman"/>
          <w:sz w:val="24"/>
          <w:szCs w:val="24"/>
          <w:lang w:eastAsia="et-EE"/>
        </w:rPr>
      </w:pPr>
      <w:r w:rsidRPr="0090577F">
        <w:rPr>
          <w:rFonts w:ascii="Times New Roman" w:eastAsia="Times New Roman" w:hAnsi="Times New Roman" w:cs="Times New Roman"/>
          <w:sz w:val="24"/>
          <w:szCs w:val="24"/>
          <w:lang w:eastAsia="et-EE"/>
        </w:rPr>
        <w:t xml:space="preserve">Euroopa inimõiguste ja põhivabaduste kaitse konventsiooni (edaspidi </w:t>
      </w:r>
      <w:r w:rsidRPr="0090577F">
        <w:rPr>
          <w:rFonts w:ascii="Times New Roman" w:eastAsia="Times New Roman" w:hAnsi="Times New Roman" w:cs="Times New Roman"/>
          <w:i/>
          <w:iCs/>
          <w:sz w:val="24"/>
          <w:szCs w:val="24"/>
          <w:lang w:eastAsia="et-EE"/>
        </w:rPr>
        <w:t>konventsioon</w:t>
      </w:r>
      <w:r w:rsidRPr="0090577F">
        <w:rPr>
          <w:rFonts w:ascii="Times New Roman" w:eastAsia="Times New Roman" w:hAnsi="Times New Roman" w:cs="Times New Roman"/>
          <w:sz w:val="24"/>
          <w:szCs w:val="24"/>
          <w:lang w:eastAsia="et-EE"/>
        </w:rPr>
        <w:t>) protokolli nr 1 artikli 3 (õigus vabadele valimistele) kohaselt kohustuvad protokolliosalised mõistlike ajavahemike järel korraldama salajase hääletamisega vabu valimisi tingimustel, mis tagavad rahva vaba tahteavalduse seadusandja valimisel.</w:t>
      </w:r>
      <w:r w:rsidRPr="0090577F">
        <w:rPr>
          <w:rStyle w:val="Allmrkuseviide"/>
          <w:rFonts w:ascii="Times New Roman" w:eastAsia="Times New Roman" w:hAnsi="Times New Roman" w:cs="Times New Roman"/>
          <w:sz w:val="24"/>
          <w:szCs w:val="24"/>
          <w:lang w:eastAsia="et-EE"/>
        </w:rPr>
        <w:footnoteReference w:id="1"/>
      </w:r>
    </w:p>
    <w:p w14:paraId="4D312895" w14:textId="1AF1DAEF" w:rsidR="00203C55" w:rsidRPr="0090577F" w:rsidRDefault="00203C55" w:rsidP="00203C55">
      <w:pPr>
        <w:shd w:val="clear" w:color="auto" w:fill="FFFFFF"/>
        <w:spacing w:before="120" w:after="120"/>
        <w:jc w:val="both"/>
        <w:rPr>
          <w:rFonts w:ascii="Times New Roman" w:eastAsia="Times New Roman" w:hAnsi="Times New Roman" w:cs="Times New Roman"/>
          <w:sz w:val="24"/>
          <w:szCs w:val="24"/>
          <w:lang w:eastAsia="et-EE"/>
        </w:rPr>
      </w:pPr>
      <w:r w:rsidRPr="0090577F">
        <w:rPr>
          <w:rFonts w:ascii="Times New Roman" w:eastAsia="Times New Roman" w:hAnsi="Times New Roman" w:cs="Times New Roman"/>
          <w:sz w:val="24"/>
          <w:szCs w:val="24"/>
          <w:lang w:eastAsia="et-EE"/>
        </w:rPr>
        <w:lastRenderedPageBreak/>
        <w:t xml:space="preserve">Euroopa </w:t>
      </w:r>
      <w:r w:rsidR="00D33EEA">
        <w:rPr>
          <w:rFonts w:ascii="Times New Roman" w:eastAsia="Times New Roman" w:hAnsi="Times New Roman" w:cs="Times New Roman"/>
          <w:sz w:val="24"/>
          <w:szCs w:val="24"/>
          <w:lang w:eastAsia="et-EE"/>
        </w:rPr>
        <w:t>I</w:t>
      </w:r>
      <w:r w:rsidRPr="0090577F">
        <w:rPr>
          <w:rFonts w:ascii="Times New Roman" w:eastAsia="Times New Roman" w:hAnsi="Times New Roman" w:cs="Times New Roman"/>
          <w:sz w:val="24"/>
          <w:szCs w:val="24"/>
          <w:lang w:eastAsia="et-EE"/>
        </w:rPr>
        <w:t>nimõiguste Kohtu praktika</w:t>
      </w:r>
      <w:r w:rsidRPr="0090577F">
        <w:rPr>
          <w:rStyle w:val="Allmrkuseviide"/>
          <w:rFonts w:ascii="Times New Roman" w:eastAsia="Times New Roman" w:hAnsi="Times New Roman" w:cs="Times New Roman"/>
          <w:sz w:val="24"/>
          <w:szCs w:val="24"/>
          <w:lang w:eastAsia="et-EE"/>
        </w:rPr>
        <w:footnoteReference w:id="2"/>
      </w:r>
      <w:r w:rsidRPr="0090577F">
        <w:rPr>
          <w:rFonts w:ascii="Times New Roman" w:eastAsia="Times New Roman" w:hAnsi="Times New Roman" w:cs="Times New Roman"/>
          <w:sz w:val="24"/>
          <w:szCs w:val="24"/>
          <w:lang w:eastAsia="et-EE"/>
        </w:rPr>
        <w:t xml:space="preserve"> kohaselt on artikli 3 kohaldamisalas seadusandja valimised, seega kohaliku omavalitsuse (KOV) volikogu valimised ei kuulu selle artikli kohaldamisalasse.</w:t>
      </w:r>
    </w:p>
    <w:p w14:paraId="71EEAAA7" w14:textId="77777777" w:rsidR="00203C55" w:rsidRDefault="00203C55" w:rsidP="00203C55">
      <w:pPr>
        <w:spacing w:before="120" w:after="120"/>
        <w:jc w:val="both"/>
        <w:rPr>
          <w:rFonts w:ascii="Times New Roman" w:hAnsi="Times New Roman" w:cs="Times New Roman"/>
          <w:spacing w:val="-2"/>
          <w:sz w:val="24"/>
          <w:szCs w:val="24"/>
          <w:lang w:eastAsia="et-EE"/>
        </w:rPr>
      </w:pPr>
      <w:r w:rsidRPr="0090577F">
        <w:rPr>
          <w:rFonts w:ascii="Times New Roman" w:hAnsi="Times New Roman" w:cs="Times New Roman"/>
          <w:spacing w:val="-2"/>
          <w:sz w:val="24"/>
          <w:szCs w:val="24"/>
          <w:lang w:eastAsia="et-EE"/>
        </w:rPr>
        <w:t xml:space="preserve">Euroopa Nõukogu Veneetsia komisjoni koostatud </w:t>
      </w:r>
      <w:hyperlink r:id="rId8" w:history="1">
        <w:r w:rsidRPr="0090577F">
          <w:rPr>
            <w:rFonts w:ascii="Times New Roman" w:hAnsi="Times New Roman" w:cs="Times New Roman"/>
            <w:spacing w:val="-2"/>
            <w:sz w:val="24"/>
            <w:szCs w:val="24"/>
            <w:lang w:eastAsia="et-EE"/>
          </w:rPr>
          <w:t>valimiste hea tava</w:t>
        </w:r>
      </w:hyperlink>
      <w:r w:rsidRPr="0090577F">
        <w:rPr>
          <w:rStyle w:val="Allmrkuseviide"/>
          <w:rFonts w:ascii="Times New Roman" w:hAnsi="Times New Roman" w:cs="Times New Roman"/>
          <w:spacing w:val="-2"/>
          <w:sz w:val="24"/>
          <w:szCs w:val="24"/>
          <w:lang w:eastAsia="et-EE"/>
        </w:rPr>
        <w:footnoteReference w:id="3"/>
      </w:r>
      <w:r w:rsidRPr="0090577F">
        <w:rPr>
          <w:rFonts w:ascii="Times New Roman" w:hAnsi="Times New Roman" w:cs="Times New Roman"/>
          <w:spacing w:val="-2"/>
          <w:sz w:val="24"/>
          <w:szCs w:val="24"/>
          <w:lang w:eastAsia="et-EE"/>
        </w:rPr>
        <w:t xml:space="preserve"> (</w:t>
      </w:r>
      <w:r w:rsidRPr="0090577F">
        <w:rPr>
          <w:rFonts w:ascii="Times New Roman" w:hAnsi="Times New Roman" w:cs="Times New Roman"/>
          <w:i/>
          <w:iCs/>
          <w:spacing w:val="-2"/>
          <w:sz w:val="24"/>
          <w:szCs w:val="24"/>
          <w:lang w:eastAsia="et-EE"/>
        </w:rPr>
        <w:t xml:space="preserve">Code of </w:t>
      </w:r>
      <w:proofErr w:type="spellStart"/>
      <w:r w:rsidRPr="0090577F">
        <w:rPr>
          <w:rFonts w:ascii="Times New Roman" w:hAnsi="Times New Roman" w:cs="Times New Roman"/>
          <w:i/>
          <w:iCs/>
          <w:spacing w:val="-2"/>
          <w:sz w:val="24"/>
          <w:szCs w:val="24"/>
          <w:lang w:eastAsia="et-EE"/>
        </w:rPr>
        <w:t>good</w:t>
      </w:r>
      <w:proofErr w:type="spellEnd"/>
      <w:r w:rsidRPr="0090577F">
        <w:rPr>
          <w:rFonts w:ascii="Times New Roman" w:hAnsi="Times New Roman" w:cs="Times New Roman"/>
          <w:i/>
          <w:iCs/>
          <w:spacing w:val="-2"/>
          <w:sz w:val="24"/>
          <w:szCs w:val="24"/>
          <w:lang w:eastAsia="et-EE"/>
        </w:rPr>
        <w:t xml:space="preserve"> </w:t>
      </w:r>
      <w:proofErr w:type="spellStart"/>
      <w:r w:rsidRPr="0090577F">
        <w:rPr>
          <w:rFonts w:ascii="Times New Roman" w:hAnsi="Times New Roman" w:cs="Times New Roman"/>
          <w:i/>
          <w:iCs/>
          <w:spacing w:val="-2"/>
          <w:sz w:val="24"/>
          <w:szCs w:val="24"/>
          <w:lang w:eastAsia="et-EE"/>
        </w:rPr>
        <w:t>practice</w:t>
      </w:r>
      <w:proofErr w:type="spellEnd"/>
      <w:r w:rsidRPr="0090577F">
        <w:rPr>
          <w:rFonts w:ascii="Times New Roman" w:hAnsi="Times New Roman" w:cs="Times New Roman"/>
          <w:i/>
          <w:iCs/>
          <w:spacing w:val="-2"/>
          <w:sz w:val="24"/>
          <w:szCs w:val="24"/>
          <w:lang w:eastAsia="et-EE"/>
        </w:rPr>
        <w:t xml:space="preserve"> </w:t>
      </w:r>
      <w:r w:rsidRPr="0090577F">
        <w:rPr>
          <w:rFonts w:ascii="Times New Roman" w:hAnsi="Times New Roman" w:cs="Times New Roman"/>
          <w:i/>
          <w:iCs/>
          <w:spacing w:val="-3"/>
          <w:sz w:val="24"/>
          <w:szCs w:val="24"/>
          <w:lang w:eastAsia="et-EE"/>
        </w:rPr>
        <w:t xml:space="preserve">in </w:t>
      </w:r>
      <w:proofErr w:type="spellStart"/>
      <w:r w:rsidRPr="0090577F">
        <w:rPr>
          <w:rFonts w:ascii="Times New Roman" w:hAnsi="Times New Roman" w:cs="Times New Roman"/>
          <w:i/>
          <w:iCs/>
          <w:spacing w:val="-3"/>
          <w:sz w:val="24"/>
          <w:szCs w:val="24"/>
          <w:lang w:eastAsia="et-EE"/>
        </w:rPr>
        <w:t>electoral</w:t>
      </w:r>
      <w:proofErr w:type="spellEnd"/>
      <w:r w:rsidRPr="0090577F">
        <w:rPr>
          <w:rFonts w:ascii="Times New Roman" w:hAnsi="Times New Roman" w:cs="Times New Roman"/>
          <w:i/>
          <w:iCs/>
          <w:spacing w:val="-3"/>
          <w:sz w:val="24"/>
          <w:szCs w:val="24"/>
          <w:lang w:eastAsia="et-EE"/>
        </w:rPr>
        <w:t xml:space="preserve"> </w:t>
      </w:r>
      <w:proofErr w:type="spellStart"/>
      <w:r w:rsidRPr="0090577F">
        <w:rPr>
          <w:rFonts w:ascii="Times New Roman" w:hAnsi="Times New Roman" w:cs="Times New Roman"/>
          <w:i/>
          <w:iCs/>
          <w:spacing w:val="-3"/>
          <w:sz w:val="24"/>
          <w:szCs w:val="24"/>
          <w:lang w:eastAsia="et-EE"/>
        </w:rPr>
        <w:t>matters</w:t>
      </w:r>
      <w:proofErr w:type="spellEnd"/>
      <w:r w:rsidRPr="0090577F">
        <w:rPr>
          <w:rFonts w:ascii="Times New Roman" w:hAnsi="Times New Roman" w:cs="Times New Roman"/>
          <w:spacing w:val="-3"/>
          <w:sz w:val="24"/>
          <w:szCs w:val="24"/>
          <w:lang w:eastAsia="et-EE"/>
        </w:rPr>
        <w:t xml:space="preserve">) kohaselt on soovitatav lubada välismaalastel hääletada kohalikel valimistel pärast teatud ajavahemiku jooksul </w:t>
      </w:r>
      <w:proofErr w:type="spellStart"/>
      <w:r w:rsidRPr="0090577F">
        <w:rPr>
          <w:rFonts w:ascii="Times New Roman" w:hAnsi="Times New Roman" w:cs="Times New Roman"/>
          <w:spacing w:val="-3"/>
          <w:sz w:val="24"/>
          <w:szCs w:val="24"/>
          <w:lang w:eastAsia="et-EE"/>
        </w:rPr>
        <w:t>residentsusnõude</w:t>
      </w:r>
      <w:proofErr w:type="spellEnd"/>
      <w:r w:rsidRPr="0090577F">
        <w:rPr>
          <w:rFonts w:ascii="Times New Roman" w:hAnsi="Times New Roman" w:cs="Times New Roman"/>
          <w:spacing w:val="-3"/>
          <w:sz w:val="24"/>
          <w:szCs w:val="24"/>
          <w:lang w:eastAsia="et-EE"/>
        </w:rPr>
        <w:t xml:space="preserve"> täitmist (punkti 1.1 alapunkti b alapunkt ii). </w:t>
      </w:r>
      <w:r w:rsidRPr="0090577F">
        <w:rPr>
          <w:rFonts w:ascii="Times New Roman" w:hAnsi="Times New Roman" w:cs="Times New Roman"/>
          <w:sz w:val="24"/>
          <w:szCs w:val="24"/>
          <w:lang w:eastAsia="et-EE"/>
        </w:rPr>
        <w:t xml:space="preserve">Hea tava seletuskirja punkti 6 alapunktides a–c loetletakse ühtsed alused nii passiivse kui ka </w:t>
      </w:r>
      <w:r w:rsidRPr="0090577F">
        <w:rPr>
          <w:rFonts w:ascii="Times New Roman" w:hAnsi="Times New Roman" w:cs="Times New Roman"/>
          <w:spacing w:val="-2"/>
          <w:sz w:val="24"/>
          <w:szCs w:val="24"/>
          <w:lang w:eastAsia="et-EE"/>
        </w:rPr>
        <w:t xml:space="preserve">aktiivse valimisõiguse piiramiseks, mis on kooskõlas rahvusvaheliste standarditega. Enamasti </w:t>
      </w:r>
      <w:r w:rsidRPr="0090577F">
        <w:rPr>
          <w:rFonts w:ascii="Times New Roman" w:hAnsi="Times New Roman" w:cs="Times New Roman"/>
          <w:spacing w:val="-3"/>
          <w:sz w:val="24"/>
          <w:szCs w:val="24"/>
          <w:lang w:eastAsia="et-EE"/>
        </w:rPr>
        <w:t>on valimisõigus piiratud kahel alusel – nendeks on vanus ja kodakondsus. Tegemist on Euroopa</w:t>
      </w:r>
      <w:r w:rsidRPr="0090577F">
        <w:rPr>
          <w:rFonts w:ascii="Times New Roman" w:hAnsi="Times New Roman" w:cs="Times New Roman"/>
          <w:sz w:val="24"/>
          <w:szCs w:val="24"/>
          <w:lang w:eastAsia="et-EE"/>
        </w:rPr>
        <w:t xml:space="preserve"> </w:t>
      </w:r>
      <w:r w:rsidRPr="0090577F">
        <w:rPr>
          <w:rFonts w:ascii="Times New Roman" w:hAnsi="Times New Roman" w:cs="Times New Roman"/>
          <w:spacing w:val="-2"/>
          <w:sz w:val="24"/>
          <w:szCs w:val="24"/>
          <w:lang w:eastAsia="et-EE"/>
        </w:rPr>
        <w:t>Nõukogu riikidele soovitusliku dokumendiga.</w:t>
      </w:r>
    </w:p>
    <w:p w14:paraId="7905FABC" w14:textId="3A6421E6" w:rsidR="001E69E7" w:rsidRPr="0090577F" w:rsidRDefault="001E69E7" w:rsidP="00203C55">
      <w:pPr>
        <w:spacing w:before="120" w:after="120"/>
        <w:jc w:val="both"/>
        <w:rPr>
          <w:rFonts w:ascii="Times New Roman" w:hAnsi="Times New Roman" w:cs="Times New Roman"/>
          <w:spacing w:val="-2"/>
          <w:sz w:val="24"/>
          <w:szCs w:val="24"/>
          <w:lang w:eastAsia="et-EE"/>
        </w:rPr>
      </w:pPr>
      <w:r w:rsidRPr="00100DD8">
        <w:rPr>
          <w:rFonts w:ascii="Times New Roman" w:hAnsi="Times New Roman" w:cs="Times New Roman"/>
          <w:b/>
          <w:bCs/>
          <w:spacing w:val="-2"/>
          <w:sz w:val="24"/>
          <w:szCs w:val="24"/>
          <w:lang w:eastAsia="et-EE"/>
        </w:rPr>
        <w:t xml:space="preserve">Euroopa </w:t>
      </w:r>
      <w:r w:rsidR="00D33EEA">
        <w:rPr>
          <w:rFonts w:ascii="Times New Roman" w:hAnsi="Times New Roman" w:cs="Times New Roman"/>
          <w:b/>
          <w:bCs/>
          <w:spacing w:val="-2"/>
          <w:sz w:val="24"/>
          <w:szCs w:val="24"/>
          <w:lang w:eastAsia="et-EE"/>
        </w:rPr>
        <w:t>i</w:t>
      </w:r>
      <w:r w:rsidRPr="001E69E7">
        <w:rPr>
          <w:rFonts w:ascii="Times New Roman" w:hAnsi="Times New Roman" w:cs="Times New Roman"/>
          <w:b/>
          <w:bCs/>
          <w:spacing w:val="-2"/>
          <w:sz w:val="24"/>
          <w:szCs w:val="24"/>
          <w:lang w:eastAsia="et-EE"/>
        </w:rPr>
        <w:t>nimõiguste ja põhivabaduste kaitse konventsioon</w:t>
      </w:r>
      <w:r>
        <w:rPr>
          <w:rFonts w:ascii="Times New Roman" w:hAnsi="Times New Roman" w:cs="Times New Roman"/>
          <w:b/>
          <w:bCs/>
          <w:spacing w:val="-2"/>
          <w:sz w:val="24"/>
          <w:szCs w:val="24"/>
          <w:lang w:eastAsia="et-EE"/>
        </w:rPr>
        <w:t xml:space="preserve">i </w:t>
      </w:r>
      <w:r w:rsidR="00D33EEA">
        <w:rPr>
          <w:rFonts w:ascii="Times New Roman" w:hAnsi="Times New Roman" w:cs="Times New Roman"/>
          <w:b/>
          <w:bCs/>
          <w:spacing w:val="-2"/>
          <w:sz w:val="24"/>
          <w:szCs w:val="24"/>
          <w:lang w:eastAsia="et-EE"/>
        </w:rPr>
        <w:t>a</w:t>
      </w:r>
      <w:r>
        <w:rPr>
          <w:rFonts w:ascii="Times New Roman" w:hAnsi="Times New Roman" w:cs="Times New Roman"/>
          <w:b/>
          <w:bCs/>
          <w:spacing w:val="-2"/>
          <w:sz w:val="24"/>
          <w:szCs w:val="24"/>
          <w:lang w:eastAsia="et-EE"/>
        </w:rPr>
        <w:t xml:space="preserve">rtikkel 16 järgi ei kohaldu </w:t>
      </w:r>
      <w:r w:rsidR="00C0785E">
        <w:rPr>
          <w:rFonts w:ascii="Times New Roman" w:hAnsi="Times New Roman" w:cs="Times New Roman"/>
          <w:b/>
          <w:bCs/>
          <w:spacing w:val="-2"/>
          <w:sz w:val="24"/>
          <w:szCs w:val="24"/>
          <w:lang w:eastAsia="et-EE"/>
        </w:rPr>
        <w:t xml:space="preserve">konventsiooni </w:t>
      </w:r>
      <w:r w:rsidR="00D33EEA">
        <w:rPr>
          <w:rFonts w:ascii="Times New Roman" w:hAnsi="Times New Roman" w:cs="Times New Roman"/>
          <w:b/>
          <w:bCs/>
          <w:spacing w:val="-2"/>
          <w:sz w:val="24"/>
          <w:szCs w:val="24"/>
          <w:lang w:eastAsia="et-EE"/>
        </w:rPr>
        <w:t>a</w:t>
      </w:r>
      <w:r w:rsidR="00C0785E">
        <w:rPr>
          <w:rFonts w:ascii="Times New Roman" w:hAnsi="Times New Roman" w:cs="Times New Roman"/>
          <w:b/>
          <w:bCs/>
          <w:spacing w:val="-2"/>
          <w:sz w:val="24"/>
          <w:szCs w:val="24"/>
          <w:lang w:eastAsia="et-EE"/>
        </w:rPr>
        <w:t>rtiklis 14 sätestatud diskrimineerimise keeld</w:t>
      </w:r>
      <w:r>
        <w:rPr>
          <w:rFonts w:ascii="Times New Roman" w:hAnsi="Times New Roman" w:cs="Times New Roman"/>
          <w:b/>
          <w:bCs/>
          <w:spacing w:val="-2"/>
          <w:sz w:val="24"/>
          <w:szCs w:val="24"/>
          <w:lang w:eastAsia="et-EE"/>
        </w:rPr>
        <w:t xml:space="preserve"> välismaalaste poliitlilise tegevuse piir</w:t>
      </w:r>
      <w:r w:rsidR="00C0785E">
        <w:rPr>
          <w:rFonts w:ascii="Times New Roman" w:hAnsi="Times New Roman" w:cs="Times New Roman"/>
          <w:b/>
          <w:bCs/>
          <w:spacing w:val="-2"/>
          <w:sz w:val="24"/>
          <w:szCs w:val="24"/>
          <w:lang w:eastAsia="et-EE"/>
        </w:rPr>
        <w:t>a</w:t>
      </w:r>
      <w:r>
        <w:rPr>
          <w:rFonts w:ascii="Times New Roman" w:hAnsi="Times New Roman" w:cs="Times New Roman"/>
          <w:b/>
          <w:bCs/>
          <w:spacing w:val="-2"/>
          <w:sz w:val="24"/>
          <w:szCs w:val="24"/>
          <w:lang w:eastAsia="et-EE"/>
        </w:rPr>
        <w:t xml:space="preserve">ngutele </w:t>
      </w:r>
      <w:r w:rsidR="00C0785E">
        <w:rPr>
          <w:rFonts w:ascii="Times New Roman" w:hAnsi="Times New Roman" w:cs="Times New Roman"/>
          <w:b/>
          <w:bCs/>
          <w:spacing w:val="-2"/>
          <w:sz w:val="24"/>
          <w:szCs w:val="24"/>
          <w:lang w:eastAsia="et-EE"/>
        </w:rPr>
        <w:t>konventsiooni osali</w:t>
      </w:r>
      <w:r>
        <w:rPr>
          <w:rFonts w:ascii="Times New Roman" w:hAnsi="Times New Roman" w:cs="Times New Roman"/>
          <w:b/>
          <w:bCs/>
          <w:spacing w:val="-2"/>
          <w:sz w:val="24"/>
          <w:szCs w:val="24"/>
          <w:lang w:eastAsia="et-EE"/>
        </w:rPr>
        <w:t>sriikide</w:t>
      </w:r>
      <w:r w:rsidR="00C0785E">
        <w:rPr>
          <w:rFonts w:ascii="Times New Roman" w:hAnsi="Times New Roman" w:cs="Times New Roman"/>
          <w:b/>
          <w:bCs/>
          <w:spacing w:val="-2"/>
          <w:sz w:val="24"/>
          <w:szCs w:val="24"/>
          <w:lang w:eastAsia="et-EE"/>
        </w:rPr>
        <w:t>s, seega on v</w:t>
      </w:r>
      <w:r>
        <w:rPr>
          <w:rFonts w:ascii="Times New Roman" w:hAnsi="Times New Roman" w:cs="Times New Roman"/>
          <w:b/>
          <w:bCs/>
          <w:spacing w:val="-2"/>
          <w:sz w:val="24"/>
          <w:szCs w:val="24"/>
          <w:lang w:eastAsia="et-EE"/>
        </w:rPr>
        <w:t>älismaalaste poliitilise tegevuse regu</w:t>
      </w:r>
      <w:r w:rsidR="00C0785E">
        <w:rPr>
          <w:rFonts w:ascii="Times New Roman" w:hAnsi="Times New Roman" w:cs="Times New Roman"/>
          <w:b/>
          <w:bCs/>
          <w:spacing w:val="-2"/>
          <w:sz w:val="24"/>
          <w:szCs w:val="24"/>
          <w:lang w:eastAsia="et-EE"/>
        </w:rPr>
        <w:t>l</w:t>
      </w:r>
      <w:r>
        <w:rPr>
          <w:rFonts w:ascii="Times New Roman" w:hAnsi="Times New Roman" w:cs="Times New Roman"/>
          <w:b/>
          <w:bCs/>
          <w:spacing w:val="-2"/>
          <w:sz w:val="24"/>
          <w:szCs w:val="24"/>
          <w:lang w:eastAsia="et-EE"/>
        </w:rPr>
        <w:t>eerimine liikmesriigi suveräänse seadusandluse küsimus väljaspool konven</w:t>
      </w:r>
      <w:r w:rsidR="00C0785E">
        <w:rPr>
          <w:rFonts w:ascii="Times New Roman" w:hAnsi="Times New Roman" w:cs="Times New Roman"/>
          <w:b/>
          <w:bCs/>
          <w:spacing w:val="-2"/>
          <w:sz w:val="24"/>
          <w:szCs w:val="24"/>
          <w:lang w:eastAsia="et-EE"/>
        </w:rPr>
        <w:t>t</w:t>
      </w:r>
      <w:r>
        <w:rPr>
          <w:rFonts w:ascii="Times New Roman" w:hAnsi="Times New Roman" w:cs="Times New Roman"/>
          <w:b/>
          <w:bCs/>
          <w:spacing w:val="-2"/>
          <w:sz w:val="24"/>
          <w:szCs w:val="24"/>
          <w:lang w:eastAsia="et-EE"/>
        </w:rPr>
        <w:t>siooni kaitseala.</w:t>
      </w:r>
    </w:p>
    <w:p w14:paraId="6C15B04B" w14:textId="77777777" w:rsidR="00203C55" w:rsidRPr="0090577F" w:rsidRDefault="00203C55" w:rsidP="00203C55">
      <w:pPr>
        <w:spacing w:before="120" w:after="120"/>
        <w:jc w:val="both"/>
        <w:rPr>
          <w:rFonts w:ascii="Times New Roman" w:hAnsi="Times New Roman" w:cs="Times New Roman"/>
          <w:sz w:val="24"/>
          <w:szCs w:val="24"/>
          <w:lang w:eastAsia="et-EE"/>
        </w:rPr>
      </w:pPr>
      <w:r w:rsidRPr="0090577F">
        <w:rPr>
          <w:rFonts w:ascii="Times New Roman" w:hAnsi="Times New Roman" w:cs="Times New Roman"/>
          <w:sz w:val="24"/>
          <w:szCs w:val="24"/>
        </w:rPr>
        <w:t>Põhiseaduse § 156 lg 2 sätestab, et „kohaliku omavalitsuse volikogu valimistel on seaduses ettenähtud tingimustel hääleõiguslikud selle omavalitsuse maa-alal püsivalt elavad isikud, kes on vähemalt kuusteist aastat vanad.“ See tähendab, et seadusandjal on õigus ja kohustus näha ette hääletamisõiguse teostamise tingimused, sätestades need seaduses.</w:t>
      </w:r>
    </w:p>
    <w:p w14:paraId="17190F2E" w14:textId="77777777" w:rsidR="00203C55" w:rsidRPr="0090577F" w:rsidRDefault="00203C55" w:rsidP="00203C55">
      <w:pPr>
        <w:spacing w:before="120" w:after="120"/>
        <w:jc w:val="both"/>
        <w:rPr>
          <w:rFonts w:ascii="Times New Roman" w:hAnsi="Times New Roman" w:cs="Times New Roman"/>
          <w:sz w:val="24"/>
          <w:szCs w:val="24"/>
          <w:lang w:eastAsia="et-EE"/>
        </w:rPr>
      </w:pPr>
      <w:r w:rsidRPr="0090577F">
        <w:rPr>
          <w:rFonts w:ascii="Times New Roman" w:hAnsi="Times New Roman" w:cs="Times New Roman"/>
          <w:sz w:val="24"/>
          <w:szCs w:val="24"/>
        </w:rPr>
        <w:t>Põhiseaduse § 156 lg 2 näeb aktiivse valimisõiguse puhul selgesõnaliselt ette vanusetsensuse, milleks on vähemalt 16 aastat. Lisaks sätestab põhiseadus nn paiksustsensusena tingimuse, et hääleõiguse omamiseks peab olema tegemist kohaliku omavalitsuse maa-alal püsivalt elava isikuga. Erinevalt Riigikogu valimistest (põhiseaduse § 57) ei määratleta KOV volikogu valimistel hääleõiguslikku isikut kodakondsuse kriteeriumi alusel ehk ei sätestata kodakondsustsensust.</w:t>
      </w:r>
    </w:p>
    <w:p w14:paraId="37681AC6" w14:textId="77777777" w:rsidR="00203C55" w:rsidRPr="0090577F" w:rsidRDefault="00203C55" w:rsidP="00203C55">
      <w:pPr>
        <w:spacing w:before="120" w:after="240"/>
        <w:jc w:val="both"/>
        <w:rPr>
          <w:rFonts w:ascii="Times New Roman" w:hAnsi="Times New Roman" w:cs="Times New Roman"/>
          <w:sz w:val="24"/>
          <w:szCs w:val="24"/>
          <w:lang w:eastAsia="et-EE"/>
        </w:rPr>
      </w:pPr>
      <w:r w:rsidRPr="0090577F">
        <w:rPr>
          <w:rFonts w:ascii="Times New Roman" w:hAnsi="Times New Roman" w:cs="Times New Roman"/>
          <w:sz w:val="24"/>
          <w:szCs w:val="24"/>
        </w:rPr>
        <w:t>Kohaliku omavalitsuse volikogu valimise seaduses</w:t>
      </w:r>
      <w:r w:rsidRPr="0090577F">
        <w:rPr>
          <w:rStyle w:val="Allmrkuseviide"/>
          <w:rFonts w:ascii="Times New Roman" w:hAnsi="Times New Roman" w:cs="Times New Roman"/>
          <w:sz w:val="24"/>
          <w:szCs w:val="24"/>
        </w:rPr>
        <w:footnoteReference w:id="4"/>
      </w:r>
      <w:r w:rsidRPr="0090577F">
        <w:rPr>
          <w:rFonts w:ascii="Times New Roman" w:hAnsi="Times New Roman" w:cs="Times New Roman"/>
          <w:sz w:val="24"/>
          <w:szCs w:val="24"/>
        </w:rPr>
        <w:t xml:space="preserve"> (KOVVS) on alates selle </w:t>
      </w:r>
      <w:r w:rsidRPr="0090577F">
        <w:rPr>
          <w:rFonts w:ascii="Times New Roman" w:hAnsi="Times New Roman" w:cs="Times New Roman"/>
          <w:spacing w:val="-2"/>
          <w:sz w:val="24"/>
          <w:szCs w:val="24"/>
        </w:rPr>
        <w:t>taasiseseisvumise järgsest esmakordsest kehtestamisest 1993. aastal sisaldunud mittekodanike õigus hääletada. Täpsemalt on õigus hääletada välismaalasel, kes elab Eestis pikaajalise elaniku</w:t>
      </w:r>
      <w:r w:rsidRPr="0090577F">
        <w:rPr>
          <w:rFonts w:ascii="Times New Roman" w:hAnsi="Times New Roman" w:cs="Times New Roman"/>
          <w:sz w:val="24"/>
          <w:szCs w:val="24"/>
        </w:rPr>
        <w:t xml:space="preserve"> elamisloa või alalise elamisõiguse alusel (KOVVS § 5 lg 2 p 1).</w:t>
      </w:r>
    </w:p>
    <w:p w14:paraId="2FD7E736" w14:textId="2E754DDF" w:rsidR="00203C55" w:rsidRPr="0090577F" w:rsidRDefault="00203C55" w:rsidP="00203C55">
      <w:pPr>
        <w:spacing w:before="240" w:after="240"/>
        <w:jc w:val="both"/>
        <w:rPr>
          <w:rFonts w:ascii="Times New Roman" w:hAnsi="Times New Roman" w:cs="Times New Roman"/>
          <w:sz w:val="24"/>
          <w:szCs w:val="24"/>
        </w:rPr>
      </w:pPr>
      <w:r w:rsidRPr="0090577F">
        <w:rPr>
          <w:rFonts w:ascii="Times New Roman" w:hAnsi="Times New Roman" w:cs="Times New Roman"/>
          <w:sz w:val="24"/>
          <w:szCs w:val="24"/>
        </w:rPr>
        <w:t xml:space="preserve">Eelnõuga täiendatakse põhiseaduse § 156 lõiget 2 selgetel ning objektiivsetel kriteeriumitel </w:t>
      </w:r>
      <w:r w:rsidRPr="0090577F">
        <w:rPr>
          <w:rFonts w:ascii="Times New Roman" w:hAnsi="Times New Roman" w:cs="Times New Roman"/>
          <w:spacing w:val="-2"/>
          <w:sz w:val="24"/>
          <w:szCs w:val="24"/>
        </w:rPr>
        <w:t xml:space="preserve">põhineva loeteluga, </w:t>
      </w:r>
      <w:r w:rsidR="009954EB" w:rsidRPr="0090577F">
        <w:rPr>
          <w:rFonts w:ascii="Times New Roman" w:hAnsi="Times New Roman" w:cs="Times New Roman"/>
          <w:spacing w:val="-2"/>
          <w:sz w:val="24"/>
          <w:szCs w:val="24"/>
        </w:rPr>
        <w:t>kellel</w:t>
      </w:r>
      <w:r w:rsidRPr="0090577F">
        <w:rPr>
          <w:rFonts w:ascii="Times New Roman" w:hAnsi="Times New Roman" w:cs="Times New Roman"/>
          <w:spacing w:val="-2"/>
          <w:sz w:val="24"/>
          <w:szCs w:val="24"/>
        </w:rPr>
        <w:t xml:space="preserve"> on Eestis kohaliku omavalitsuse volikogu valimisel </w:t>
      </w:r>
      <w:r w:rsidRPr="0090577F">
        <w:rPr>
          <w:rFonts w:ascii="Times New Roman" w:hAnsi="Times New Roman" w:cs="Times New Roman"/>
          <w:sz w:val="24"/>
          <w:szCs w:val="24"/>
        </w:rPr>
        <w:t>hääleõigus. Seadusandja pädevuses on ka edaspidi määrata tingimusi hääleõiguse teostamiseks</w:t>
      </w:r>
      <w:r w:rsidR="009954EB" w:rsidRPr="0090577F">
        <w:rPr>
          <w:rFonts w:ascii="Times New Roman" w:hAnsi="Times New Roman" w:cs="Times New Roman"/>
          <w:sz w:val="24"/>
          <w:szCs w:val="24"/>
        </w:rPr>
        <w:t>.</w:t>
      </w:r>
    </w:p>
    <w:p w14:paraId="08CDCED3" w14:textId="77777777" w:rsidR="00203C55" w:rsidRPr="0090577F" w:rsidRDefault="00203C55" w:rsidP="00203C55">
      <w:pPr>
        <w:keepNext/>
        <w:spacing w:before="240" w:after="120"/>
        <w:jc w:val="both"/>
        <w:rPr>
          <w:rFonts w:ascii="Times New Roman" w:hAnsi="Times New Roman" w:cs="Times New Roman"/>
          <w:sz w:val="24"/>
          <w:szCs w:val="24"/>
        </w:rPr>
      </w:pPr>
      <w:r w:rsidRPr="0090577F">
        <w:rPr>
          <w:rFonts w:ascii="Times New Roman" w:hAnsi="Times New Roman" w:cs="Times New Roman"/>
          <w:sz w:val="24"/>
          <w:szCs w:val="24"/>
        </w:rPr>
        <w:t>Hääleõiguslikud isikud volikogu valimisel on:</w:t>
      </w:r>
    </w:p>
    <w:p w14:paraId="5A841DB6" w14:textId="77777777" w:rsidR="00203C55" w:rsidRPr="0090577F" w:rsidRDefault="00203C55" w:rsidP="00203C55">
      <w:pPr>
        <w:spacing w:before="120" w:after="120"/>
        <w:jc w:val="both"/>
        <w:rPr>
          <w:rFonts w:ascii="Times New Roman" w:hAnsi="Times New Roman" w:cs="Times New Roman"/>
          <w:sz w:val="24"/>
          <w:szCs w:val="24"/>
          <w:u w:val="single"/>
        </w:rPr>
      </w:pPr>
      <w:r w:rsidRPr="0090577F">
        <w:rPr>
          <w:rFonts w:ascii="Times New Roman" w:hAnsi="Times New Roman" w:cs="Times New Roman"/>
          <w:sz w:val="24"/>
          <w:szCs w:val="24"/>
        </w:rPr>
        <w:t>1. </w:t>
      </w:r>
      <w:r w:rsidRPr="0090577F">
        <w:rPr>
          <w:rFonts w:ascii="Times New Roman" w:hAnsi="Times New Roman" w:cs="Times New Roman"/>
          <w:sz w:val="24"/>
          <w:szCs w:val="24"/>
          <w:u w:val="single"/>
        </w:rPr>
        <w:t>Eesti kodanikud</w:t>
      </w:r>
    </w:p>
    <w:p w14:paraId="0CDFE688" w14:textId="25DE6240" w:rsidR="007D5983" w:rsidRPr="0090577F" w:rsidRDefault="007D5983" w:rsidP="00203C55">
      <w:pPr>
        <w:spacing w:before="120" w:after="120"/>
        <w:jc w:val="both"/>
        <w:rPr>
          <w:rFonts w:ascii="Times New Roman" w:hAnsi="Times New Roman" w:cs="Times New Roman"/>
          <w:sz w:val="24"/>
          <w:szCs w:val="24"/>
          <w:u w:val="single"/>
        </w:rPr>
      </w:pPr>
      <w:r w:rsidRPr="0090577F">
        <w:rPr>
          <w:rFonts w:ascii="Times New Roman" w:hAnsi="Times New Roman" w:cs="Times New Roman"/>
          <w:sz w:val="24"/>
          <w:szCs w:val="24"/>
        </w:rPr>
        <w:t>2.</w:t>
      </w:r>
      <w:r w:rsidRPr="0090577F">
        <w:rPr>
          <w:rFonts w:ascii="Times New Roman" w:hAnsi="Times New Roman" w:cs="Times New Roman"/>
          <w:sz w:val="24"/>
          <w:szCs w:val="24"/>
          <w:u w:val="single"/>
        </w:rPr>
        <w:t xml:space="preserve"> Kodakondsuseta isikud</w:t>
      </w:r>
    </w:p>
    <w:p w14:paraId="019B45DD" w14:textId="0B88323A" w:rsidR="00800993" w:rsidRPr="0090577F" w:rsidRDefault="00B54BD4" w:rsidP="00800993">
      <w:pPr>
        <w:spacing w:before="120" w:after="120"/>
        <w:jc w:val="both"/>
        <w:rPr>
          <w:rFonts w:ascii="Times New Roman" w:hAnsi="Times New Roman" w:cs="Times New Roman"/>
          <w:sz w:val="24"/>
          <w:szCs w:val="24"/>
        </w:rPr>
      </w:pPr>
      <w:r w:rsidRPr="0090577F">
        <w:rPr>
          <w:rFonts w:ascii="Times New Roman" w:hAnsi="Times New Roman" w:cs="Times New Roman"/>
          <w:sz w:val="24"/>
          <w:szCs w:val="24"/>
        </w:rPr>
        <w:t>Kodakondsuseta</w:t>
      </w:r>
      <w:r w:rsidR="00800993" w:rsidRPr="0090577F">
        <w:rPr>
          <w:rFonts w:ascii="Times New Roman" w:hAnsi="Times New Roman" w:cs="Times New Roman"/>
          <w:sz w:val="24"/>
          <w:szCs w:val="24"/>
        </w:rPr>
        <w:t xml:space="preserve"> ehk </w:t>
      </w:r>
      <w:r w:rsidRPr="0090577F">
        <w:rPr>
          <w:rFonts w:ascii="Times New Roman" w:hAnsi="Times New Roman" w:cs="Times New Roman"/>
          <w:sz w:val="24"/>
          <w:szCs w:val="24"/>
        </w:rPr>
        <w:t>määratlemata kodakondsusega isik</w:t>
      </w:r>
      <w:r w:rsidR="00800993" w:rsidRPr="0090577F">
        <w:rPr>
          <w:rFonts w:ascii="Times New Roman" w:hAnsi="Times New Roman" w:cs="Times New Roman"/>
          <w:sz w:val="24"/>
          <w:szCs w:val="24"/>
        </w:rPr>
        <w:t xml:space="preserve"> on isik, </w:t>
      </w:r>
      <w:r w:rsidRPr="0090577F">
        <w:rPr>
          <w:rFonts w:ascii="Times New Roman" w:hAnsi="Times New Roman" w:cs="Times New Roman"/>
          <w:sz w:val="24"/>
          <w:szCs w:val="24"/>
        </w:rPr>
        <w:t>kel</w:t>
      </w:r>
      <w:r w:rsidR="00800993" w:rsidRPr="0090577F">
        <w:rPr>
          <w:rFonts w:ascii="Times New Roman" w:hAnsi="Times New Roman" w:cs="Times New Roman"/>
          <w:sz w:val="24"/>
          <w:szCs w:val="24"/>
        </w:rPr>
        <w:t>lel ei ole ühegi riigi kodakondsust.</w:t>
      </w:r>
      <w:r w:rsidR="00843536">
        <w:rPr>
          <w:rFonts w:ascii="Times New Roman" w:hAnsi="Times New Roman" w:cs="Times New Roman"/>
          <w:sz w:val="24"/>
          <w:szCs w:val="24"/>
        </w:rPr>
        <w:t xml:space="preserve"> Määratlemata kodakondsusega isikutel puudub seos ühegi teise riigiga peale </w:t>
      </w:r>
      <w:r w:rsidR="00843536">
        <w:rPr>
          <w:rFonts w:ascii="Times New Roman" w:hAnsi="Times New Roman" w:cs="Times New Roman"/>
          <w:sz w:val="24"/>
          <w:szCs w:val="24"/>
        </w:rPr>
        <w:lastRenderedPageBreak/>
        <w:t xml:space="preserve">Eesti ning neil ei ole ühegi riigi ees lojaalsus- ega muid kohustusi. </w:t>
      </w:r>
      <w:r w:rsidR="00800993" w:rsidRPr="0090577F">
        <w:rPr>
          <w:rFonts w:ascii="Times New Roman" w:hAnsi="Times New Roman" w:cs="Times New Roman"/>
          <w:sz w:val="24"/>
          <w:szCs w:val="24"/>
        </w:rPr>
        <w:t>Statistikaameti andmetel elas 1. jaanuaril 2024 Eestis 62 216 määratlemata kodakondsusega isikut.</w:t>
      </w:r>
      <w:r w:rsidR="003B7500">
        <w:rPr>
          <w:rFonts w:ascii="Times New Roman" w:hAnsi="Times New Roman" w:cs="Times New Roman"/>
          <w:sz w:val="24"/>
          <w:szCs w:val="24"/>
        </w:rPr>
        <w:t xml:space="preserve"> </w:t>
      </w:r>
    </w:p>
    <w:p w14:paraId="1974BDA4" w14:textId="4C51ACCA" w:rsidR="00203C55" w:rsidRPr="0090577F" w:rsidRDefault="007D5983" w:rsidP="00203C55">
      <w:pPr>
        <w:keepNext/>
        <w:jc w:val="both"/>
        <w:rPr>
          <w:rFonts w:ascii="Times New Roman" w:hAnsi="Times New Roman" w:cs="Times New Roman"/>
          <w:sz w:val="24"/>
          <w:szCs w:val="24"/>
        </w:rPr>
      </w:pPr>
      <w:r w:rsidRPr="0090577F">
        <w:rPr>
          <w:rFonts w:ascii="Times New Roman" w:hAnsi="Times New Roman" w:cs="Times New Roman"/>
          <w:sz w:val="24"/>
          <w:szCs w:val="24"/>
        </w:rPr>
        <w:t>3</w:t>
      </w:r>
      <w:r w:rsidR="00203C55" w:rsidRPr="0090577F">
        <w:rPr>
          <w:rFonts w:ascii="Times New Roman" w:hAnsi="Times New Roman" w:cs="Times New Roman"/>
          <w:sz w:val="24"/>
          <w:szCs w:val="24"/>
        </w:rPr>
        <w:t>. </w:t>
      </w:r>
      <w:r w:rsidR="00203C55" w:rsidRPr="0090577F">
        <w:rPr>
          <w:rFonts w:ascii="Times New Roman" w:hAnsi="Times New Roman" w:cs="Times New Roman"/>
          <w:sz w:val="24"/>
          <w:szCs w:val="24"/>
          <w:u w:val="single"/>
        </w:rPr>
        <w:t>Euroopa Liidu kodanikud</w:t>
      </w:r>
    </w:p>
    <w:p w14:paraId="2E9BECFC" w14:textId="77777777" w:rsidR="00203C55" w:rsidRPr="0090577F" w:rsidRDefault="00203C55" w:rsidP="00203C55">
      <w:pPr>
        <w:spacing w:after="120"/>
        <w:ind w:left="227"/>
        <w:jc w:val="both"/>
        <w:rPr>
          <w:rFonts w:ascii="Times New Roman" w:hAnsi="Times New Roman" w:cs="Times New Roman"/>
          <w:noProof/>
          <w:sz w:val="24"/>
          <w:szCs w:val="24"/>
        </w:rPr>
      </w:pPr>
      <w:r w:rsidRPr="0090577F">
        <w:rPr>
          <w:rFonts w:ascii="Times New Roman" w:hAnsi="Times New Roman" w:cs="Times New Roman"/>
          <w:noProof/>
          <w:sz w:val="24"/>
          <w:szCs w:val="24"/>
        </w:rPr>
        <w:t xml:space="preserve">ELTL artikli 20 lõike 2 punktis b ja artikli 22 lõikes 1 ning Euroopa Liidu põhiõiguste harta artiklis 40 on sätestatud, et liidu kodanikel on õigus hääletada ja kandideerida elukohaliikmesriigi kohalikel valimistel selle riigi kodanikega võrdsetel tingimustel. ELTL artiklis 22 on sätestatud, et seda õigust kasutatakse vastavalt nõukogu poolt pärast konsulteerimist Euroopa Parlamendiga seadusandliku erimenetluse kohaselt vastuvõetud </w:t>
      </w:r>
      <w:r w:rsidRPr="0090577F">
        <w:rPr>
          <w:rFonts w:ascii="Times New Roman" w:hAnsi="Times New Roman" w:cs="Times New Roman"/>
          <w:noProof/>
          <w:spacing w:val="-2"/>
          <w:sz w:val="24"/>
          <w:szCs w:val="24"/>
        </w:rPr>
        <w:t>üksikasjalikule korrale.</w:t>
      </w:r>
      <w:r w:rsidRPr="0090577F">
        <w:rPr>
          <w:rFonts w:ascii="Times New Roman" w:hAnsi="Times New Roman" w:cs="Times New Roman"/>
          <w:noProof/>
          <w:spacing w:val="-2"/>
          <w:sz w:val="24"/>
          <w:szCs w:val="24"/>
          <w:vertAlign w:val="superscript"/>
        </w:rPr>
        <w:footnoteReference w:id="5"/>
      </w:r>
      <w:r w:rsidRPr="0090577F">
        <w:rPr>
          <w:rFonts w:ascii="Times New Roman" w:hAnsi="Times New Roman" w:cs="Times New Roman"/>
          <w:noProof/>
          <w:spacing w:val="-2"/>
          <w:sz w:val="24"/>
          <w:szCs w:val="24"/>
        </w:rPr>
        <w:t xml:space="preserve"> Sisuliselt on tegemist otse EL-i õigusest tuleneva isikute kategooriaga,</w:t>
      </w:r>
      <w:r w:rsidRPr="0090577F">
        <w:rPr>
          <w:rFonts w:ascii="Times New Roman" w:hAnsi="Times New Roman" w:cs="Times New Roman"/>
          <w:noProof/>
          <w:sz w:val="24"/>
          <w:szCs w:val="24"/>
        </w:rPr>
        <w:t xml:space="preserve"> kellel on hääleõigus võrdsetel tingimustel riigi kodanikega. Tervikluse huvides tuleb ka see isikute kategooria loetelusse lisada.</w:t>
      </w:r>
    </w:p>
    <w:p w14:paraId="0F150390" w14:textId="6F5E29E2" w:rsidR="00203C55" w:rsidRPr="0090577F" w:rsidRDefault="007D5983" w:rsidP="00203C55">
      <w:pPr>
        <w:keepNext/>
        <w:jc w:val="both"/>
        <w:rPr>
          <w:rFonts w:ascii="Times New Roman" w:hAnsi="Times New Roman" w:cs="Times New Roman"/>
          <w:sz w:val="24"/>
          <w:szCs w:val="24"/>
          <w:shd w:val="clear" w:color="auto" w:fill="FFFFFF"/>
        </w:rPr>
      </w:pPr>
      <w:r w:rsidRPr="0090577F">
        <w:rPr>
          <w:rFonts w:ascii="Times New Roman" w:hAnsi="Times New Roman" w:cs="Times New Roman"/>
          <w:sz w:val="24"/>
          <w:szCs w:val="24"/>
          <w:shd w:val="clear" w:color="auto" w:fill="FFFFFF"/>
        </w:rPr>
        <w:t>4</w:t>
      </w:r>
      <w:r w:rsidR="00203C55" w:rsidRPr="0090577F">
        <w:rPr>
          <w:rFonts w:ascii="Times New Roman" w:hAnsi="Times New Roman" w:cs="Times New Roman"/>
          <w:sz w:val="24"/>
          <w:szCs w:val="24"/>
          <w:shd w:val="clear" w:color="auto" w:fill="FFFFFF"/>
        </w:rPr>
        <w:t>. </w:t>
      </w:r>
      <w:r w:rsidR="00203C55" w:rsidRPr="0090577F">
        <w:rPr>
          <w:rFonts w:ascii="Times New Roman" w:hAnsi="Times New Roman" w:cs="Times New Roman"/>
          <w:sz w:val="24"/>
          <w:szCs w:val="24"/>
          <w:u w:val="single"/>
          <w:shd w:val="clear" w:color="auto" w:fill="FFFFFF"/>
        </w:rPr>
        <w:t>Põhja-Atlandi Lepingu Organisatsiooni osalisriigi kodanikud</w:t>
      </w:r>
    </w:p>
    <w:p w14:paraId="34366E00" w14:textId="60C311B1" w:rsidR="00203C55" w:rsidRPr="0090577F" w:rsidRDefault="00203C55" w:rsidP="00203C55">
      <w:pPr>
        <w:ind w:left="227"/>
        <w:jc w:val="both"/>
        <w:rPr>
          <w:rFonts w:ascii="Times New Roman" w:hAnsi="Times New Roman" w:cs="Times New Roman"/>
          <w:sz w:val="24"/>
          <w:szCs w:val="24"/>
          <w:shd w:val="clear" w:color="auto" w:fill="FFFFFF"/>
        </w:rPr>
      </w:pPr>
      <w:r w:rsidRPr="0090577F">
        <w:rPr>
          <w:rFonts w:ascii="Times New Roman" w:hAnsi="Times New Roman" w:cs="Times New Roman"/>
          <w:sz w:val="24"/>
          <w:szCs w:val="24"/>
          <w:shd w:val="clear" w:color="auto" w:fill="FFFFFF"/>
        </w:rPr>
        <w:t>Põhja-Atlandi Lepingu Organisatsioon (NATO ehk Põhja-Atlandi Liit) on 1949. aasta 4. aprillil allkirjastatud Põhja-Atlandi lepinguga loodud riikidevaheline sõjaline liit. NATO eesmärk on tagada oma liikmete vabadus ja julgeolek poliitiliste ja sõjaliste vahendite abil.</w:t>
      </w:r>
      <w:r w:rsidR="003B7500">
        <w:rPr>
          <w:rFonts w:ascii="Times New Roman" w:hAnsi="Times New Roman" w:cs="Times New Roman"/>
          <w:sz w:val="24"/>
          <w:szCs w:val="24"/>
          <w:shd w:val="clear" w:color="auto" w:fill="FFFFFF"/>
        </w:rPr>
        <w:t xml:space="preserve"> Seadusandja soov on võimaldada NATO riikide kodanikel kohaliku omavalitsuse valimisel hääletada, sest tegemist on Eesti julgeoleku ja suveräänsuse tagamise instrumendiga.</w:t>
      </w:r>
    </w:p>
    <w:p w14:paraId="2726C2CE" w14:textId="77777777" w:rsidR="00203C55" w:rsidRPr="0090577F" w:rsidRDefault="00203C55" w:rsidP="00203C55">
      <w:pPr>
        <w:keepNext/>
        <w:spacing w:before="60"/>
        <w:ind w:left="227"/>
        <w:jc w:val="both"/>
        <w:rPr>
          <w:rFonts w:ascii="Times New Roman" w:hAnsi="Times New Roman" w:cs="Times New Roman"/>
          <w:sz w:val="24"/>
          <w:szCs w:val="24"/>
          <w:shd w:val="clear" w:color="auto" w:fill="FFFFFF"/>
        </w:rPr>
      </w:pPr>
      <w:r w:rsidRPr="0090577F">
        <w:rPr>
          <w:rFonts w:ascii="Times New Roman" w:hAnsi="Times New Roman" w:cs="Times New Roman"/>
          <w:sz w:val="24"/>
          <w:szCs w:val="24"/>
          <w:shd w:val="clear" w:color="auto" w:fill="FFFFFF"/>
        </w:rPr>
        <w:t>Liitu kuuluvad järgmised riigid:</w:t>
      </w:r>
    </w:p>
    <w:p w14:paraId="150C1348" w14:textId="77777777" w:rsidR="00203C55" w:rsidRPr="0090577F" w:rsidRDefault="00203C55" w:rsidP="00203C55">
      <w:pPr>
        <w:numPr>
          <w:ilvl w:val="0"/>
          <w:numId w:val="1"/>
        </w:numPr>
        <w:shd w:val="clear" w:color="auto" w:fill="FFFFFF"/>
        <w:spacing w:after="0" w:line="240" w:lineRule="auto"/>
        <w:ind w:left="587"/>
        <w:jc w:val="both"/>
        <w:rPr>
          <w:rFonts w:ascii="Times New Roman" w:eastAsia="Times New Roman" w:hAnsi="Times New Roman" w:cs="Times New Roman"/>
          <w:sz w:val="24"/>
          <w:szCs w:val="24"/>
          <w:lang w:eastAsia="et-EE"/>
        </w:rPr>
      </w:pPr>
      <w:r w:rsidRPr="0090577F">
        <w:rPr>
          <w:rFonts w:ascii="Times New Roman" w:eastAsia="Times New Roman" w:hAnsi="Times New Roman" w:cs="Times New Roman"/>
          <w:sz w:val="24"/>
          <w:szCs w:val="24"/>
          <w:lang w:eastAsia="et-EE"/>
        </w:rPr>
        <w:t>12 asutajaliiget: Ameerika Ühendriigid, Belgia, Island, Itaalia, Kanada, Luksemburg, Madalmaad, Norra, Portugal, Prantsusmaa, Taani ja Ühendkuningriik;</w:t>
      </w:r>
    </w:p>
    <w:p w14:paraId="0B4C7EB6" w14:textId="77777777" w:rsidR="00203C55" w:rsidRPr="0090577F" w:rsidRDefault="00203C55" w:rsidP="00203C55">
      <w:pPr>
        <w:numPr>
          <w:ilvl w:val="0"/>
          <w:numId w:val="1"/>
        </w:numPr>
        <w:shd w:val="clear" w:color="auto" w:fill="FFFFFF"/>
        <w:spacing w:after="0" w:line="240" w:lineRule="auto"/>
        <w:ind w:left="587"/>
        <w:jc w:val="both"/>
        <w:rPr>
          <w:rFonts w:ascii="Times New Roman" w:eastAsia="Times New Roman" w:hAnsi="Times New Roman" w:cs="Times New Roman"/>
          <w:sz w:val="24"/>
          <w:szCs w:val="24"/>
          <w:lang w:eastAsia="et-EE"/>
        </w:rPr>
      </w:pPr>
      <w:r w:rsidRPr="0090577F">
        <w:rPr>
          <w:rFonts w:ascii="Times New Roman" w:eastAsia="Times New Roman" w:hAnsi="Times New Roman" w:cs="Times New Roman"/>
          <w:sz w:val="24"/>
          <w:szCs w:val="24"/>
          <w:lang w:eastAsia="et-EE"/>
        </w:rPr>
        <w:t>alates veebruarist 1952 Kreeka ja Türgi;</w:t>
      </w:r>
    </w:p>
    <w:p w14:paraId="10A5BF85" w14:textId="77777777" w:rsidR="00203C55" w:rsidRPr="0090577F" w:rsidRDefault="00203C55" w:rsidP="00203C55">
      <w:pPr>
        <w:numPr>
          <w:ilvl w:val="0"/>
          <w:numId w:val="1"/>
        </w:numPr>
        <w:shd w:val="clear" w:color="auto" w:fill="FFFFFF"/>
        <w:spacing w:after="0" w:line="240" w:lineRule="auto"/>
        <w:ind w:left="587"/>
        <w:jc w:val="both"/>
        <w:rPr>
          <w:rFonts w:ascii="Times New Roman" w:eastAsia="Times New Roman" w:hAnsi="Times New Roman" w:cs="Times New Roman"/>
          <w:sz w:val="24"/>
          <w:szCs w:val="24"/>
          <w:lang w:eastAsia="et-EE"/>
        </w:rPr>
      </w:pPr>
      <w:r w:rsidRPr="0090577F">
        <w:rPr>
          <w:rFonts w:ascii="Times New Roman" w:eastAsia="Times New Roman" w:hAnsi="Times New Roman" w:cs="Times New Roman"/>
          <w:sz w:val="24"/>
          <w:szCs w:val="24"/>
          <w:lang w:eastAsia="et-EE"/>
        </w:rPr>
        <w:t xml:space="preserve">alates maist 1955 Lääne-Saksamaa (pärast Saksamaa </w:t>
      </w:r>
      <w:proofErr w:type="spellStart"/>
      <w:r w:rsidRPr="0090577F">
        <w:rPr>
          <w:rFonts w:ascii="Times New Roman" w:eastAsia="Times New Roman" w:hAnsi="Times New Roman" w:cs="Times New Roman"/>
          <w:sz w:val="24"/>
          <w:szCs w:val="24"/>
          <w:lang w:eastAsia="et-EE"/>
        </w:rPr>
        <w:t>taasühendamist</w:t>
      </w:r>
      <w:proofErr w:type="spellEnd"/>
      <w:r w:rsidRPr="0090577F">
        <w:rPr>
          <w:rFonts w:ascii="Times New Roman" w:eastAsia="Times New Roman" w:hAnsi="Times New Roman" w:cs="Times New Roman"/>
          <w:sz w:val="24"/>
          <w:szCs w:val="24"/>
          <w:lang w:eastAsia="et-EE"/>
        </w:rPr>
        <w:t xml:space="preserve"> 1990. aastal sai riik tervikuna liikmeks);</w:t>
      </w:r>
    </w:p>
    <w:p w14:paraId="41B11C05" w14:textId="77777777" w:rsidR="00203C55" w:rsidRPr="0090577F" w:rsidRDefault="00203C55" w:rsidP="00203C55">
      <w:pPr>
        <w:numPr>
          <w:ilvl w:val="0"/>
          <w:numId w:val="1"/>
        </w:numPr>
        <w:shd w:val="clear" w:color="auto" w:fill="FFFFFF"/>
        <w:spacing w:after="0" w:line="240" w:lineRule="auto"/>
        <w:ind w:left="587"/>
        <w:jc w:val="both"/>
        <w:rPr>
          <w:rFonts w:ascii="Times New Roman" w:eastAsia="Times New Roman" w:hAnsi="Times New Roman" w:cs="Times New Roman"/>
          <w:sz w:val="24"/>
          <w:szCs w:val="24"/>
          <w:lang w:eastAsia="et-EE"/>
        </w:rPr>
      </w:pPr>
      <w:r w:rsidRPr="0090577F">
        <w:rPr>
          <w:rFonts w:ascii="Times New Roman" w:eastAsia="Times New Roman" w:hAnsi="Times New Roman" w:cs="Times New Roman"/>
          <w:sz w:val="24"/>
          <w:szCs w:val="24"/>
          <w:lang w:eastAsia="et-EE"/>
        </w:rPr>
        <w:t>alates maist 1982 Hispaania;</w:t>
      </w:r>
    </w:p>
    <w:p w14:paraId="428CC954" w14:textId="77777777" w:rsidR="00203C55" w:rsidRPr="0090577F" w:rsidRDefault="00203C55" w:rsidP="00203C55">
      <w:pPr>
        <w:numPr>
          <w:ilvl w:val="0"/>
          <w:numId w:val="1"/>
        </w:numPr>
        <w:shd w:val="clear" w:color="auto" w:fill="FFFFFF"/>
        <w:spacing w:after="0" w:line="240" w:lineRule="auto"/>
        <w:ind w:left="587"/>
        <w:jc w:val="both"/>
        <w:rPr>
          <w:rFonts w:ascii="Times New Roman" w:eastAsia="Times New Roman" w:hAnsi="Times New Roman" w:cs="Times New Roman"/>
          <w:sz w:val="24"/>
          <w:szCs w:val="24"/>
          <w:lang w:eastAsia="et-EE"/>
        </w:rPr>
      </w:pPr>
      <w:r w:rsidRPr="0090577F">
        <w:rPr>
          <w:rFonts w:ascii="Times New Roman" w:eastAsia="Times New Roman" w:hAnsi="Times New Roman" w:cs="Times New Roman"/>
          <w:sz w:val="24"/>
          <w:szCs w:val="24"/>
          <w:lang w:eastAsia="et-EE"/>
        </w:rPr>
        <w:t>alates märtsist 1999 Poola, Tšehhi Vabariik ja Ungari;</w:t>
      </w:r>
    </w:p>
    <w:p w14:paraId="2E14695E" w14:textId="77777777" w:rsidR="00203C55" w:rsidRPr="0090577F" w:rsidRDefault="00203C55" w:rsidP="00203C55">
      <w:pPr>
        <w:numPr>
          <w:ilvl w:val="0"/>
          <w:numId w:val="1"/>
        </w:numPr>
        <w:shd w:val="clear" w:color="auto" w:fill="FFFFFF"/>
        <w:spacing w:after="0" w:line="240" w:lineRule="auto"/>
        <w:ind w:left="587"/>
        <w:jc w:val="both"/>
        <w:rPr>
          <w:rFonts w:ascii="Times New Roman" w:eastAsia="Times New Roman" w:hAnsi="Times New Roman" w:cs="Times New Roman"/>
          <w:sz w:val="24"/>
          <w:szCs w:val="24"/>
          <w:lang w:eastAsia="et-EE"/>
        </w:rPr>
      </w:pPr>
      <w:r w:rsidRPr="0090577F">
        <w:rPr>
          <w:rFonts w:ascii="Times New Roman" w:eastAsia="Times New Roman" w:hAnsi="Times New Roman" w:cs="Times New Roman"/>
          <w:sz w:val="24"/>
          <w:szCs w:val="24"/>
          <w:lang w:eastAsia="et-EE"/>
        </w:rPr>
        <w:t>alates märtsist 2004 Bulgaaria, Eesti, Leedu, Läti, Rumeenia, Slovakkia ja Sloveenia;</w:t>
      </w:r>
    </w:p>
    <w:p w14:paraId="601B0A6C" w14:textId="77777777" w:rsidR="00203C55" w:rsidRPr="0090577F" w:rsidRDefault="00203C55" w:rsidP="00203C55">
      <w:pPr>
        <w:numPr>
          <w:ilvl w:val="0"/>
          <w:numId w:val="1"/>
        </w:numPr>
        <w:shd w:val="clear" w:color="auto" w:fill="FFFFFF"/>
        <w:spacing w:after="0" w:line="240" w:lineRule="auto"/>
        <w:ind w:left="587"/>
        <w:jc w:val="both"/>
        <w:rPr>
          <w:rFonts w:ascii="Times New Roman" w:eastAsia="Times New Roman" w:hAnsi="Times New Roman" w:cs="Times New Roman"/>
          <w:sz w:val="24"/>
          <w:szCs w:val="24"/>
          <w:lang w:eastAsia="et-EE"/>
        </w:rPr>
      </w:pPr>
      <w:r w:rsidRPr="0090577F">
        <w:rPr>
          <w:rFonts w:ascii="Times New Roman" w:eastAsia="Times New Roman" w:hAnsi="Times New Roman" w:cs="Times New Roman"/>
          <w:sz w:val="24"/>
          <w:szCs w:val="24"/>
          <w:lang w:eastAsia="et-EE"/>
        </w:rPr>
        <w:t>alates aprillist 2009 Albaania ja Horvaatia;</w:t>
      </w:r>
    </w:p>
    <w:p w14:paraId="086BB1D2" w14:textId="77777777" w:rsidR="00203C55" w:rsidRPr="0090577F" w:rsidRDefault="00203C55" w:rsidP="00203C55">
      <w:pPr>
        <w:numPr>
          <w:ilvl w:val="0"/>
          <w:numId w:val="1"/>
        </w:numPr>
        <w:shd w:val="clear" w:color="auto" w:fill="FFFFFF"/>
        <w:spacing w:after="0" w:line="240" w:lineRule="auto"/>
        <w:ind w:left="587"/>
        <w:jc w:val="both"/>
        <w:rPr>
          <w:rFonts w:ascii="Times New Roman" w:eastAsia="Times New Roman" w:hAnsi="Times New Roman" w:cs="Times New Roman"/>
          <w:sz w:val="24"/>
          <w:szCs w:val="24"/>
          <w:lang w:eastAsia="et-EE"/>
        </w:rPr>
      </w:pPr>
      <w:r w:rsidRPr="0090577F">
        <w:rPr>
          <w:rFonts w:ascii="Times New Roman" w:eastAsia="Times New Roman" w:hAnsi="Times New Roman" w:cs="Times New Roman"/>
          <w:sz w:val="24"/>
          <w:szCs w:val="24"/>
          <w:lang w:eastAsia="et-EE"/>
        </w:rPr>
        <w:t>alates juunist 2017 Montenegro;</w:t>
      </w:r>
    </w:p>
    <w:p w14:paraId="26917DF0" w14:textId="77777777" w:rsidR="00203C55" w:rsidRPr="0090577F" w:rsidRDefault="00203C55" w:rsidP="00203C55">
      <w:pPr>
        <w:numPr>
          <w:ilvl w:val="0"/>
          <w:numId w:val="1"/>
        </w:numPr>
        <w:shd w:val="clear" w:color="auto" w:fill="FFFFFF"/>
        <w:spacing w:after="0" w:line="240" w:lineRule="auto"/>
        <w:ind w:left="587"/>
        <w:jc w:val="both"/>
        <w:rPr>
          <w:rFonts w:ascii="Times New Roman" w:eastAsia="Times New Roman" w:hAnsi="Times New Roman" w:cs="Times New Roman"/>
          <w:sz w:val="24"/>
          <w:szCs w:val="24"/>
          <w:lang w:eastAsia="et-EE"/>
        </w:rPr>
      </w:pPr>
      <w:r w:rsidRPr="0090577F">
        <w:rPr>
          <w:rFonts w:ascii="Times New Roman" w:eastAsia="Times New Roman" w:hAnsi="Times New Roman" w:cs="Times New Roman"/>
          <w:sz w:val="24"/>
          <w:szCs w:val="24"/>
          <w:lang w:eastAsia="et-EE"/>
        </w:rPr>
        <w:t>alates märtsist 2020 Põhja-Makedoonia;</w:t>
      </w:r>
    </w:p>
    <w:p w14:paraId="36991FF4" w14:textId="77777777" w:rsidR="00203C55" w:rsidRPr="0090577F" w:rsidRDefault="00203C55" w:rsidP="00203C55">
      <w:pPr>
        <w:numPr>
          <w:ilvl w:val="0"/>
          <w:numId w:val="1"/>
        </w:numPr>
        <w:shd w:val="clear" w:color="auto" w:fill="FFFFFF"/>
        <w:spacing w:after="0" w:line="240" w:lineRule="auto"/>
        <w:ind w:left="587"/>
        <w:jc w:val="both"/>
        <w:rPr>
          <w:rFonts w:ascii="Times New Roman" w:eastAsia="Times New Roman" w:hAnsi="Times New Roman" w:cs="Times New Roman"/>
          <w:sz w:val="24"/>
          <w:szCs w:val="24"/>
          <w:lang w:eastAsia="et-EE"/>
        </w:rPr>
      </w:pPr>
      <w:r w:rsidRPr="0090577F">
        <w:rPr>
          <w:rFonts w:ascii="Times New Roman" w:eastAsia="Times New Roman" w:hAnsi="Times New Roman" w:cs="Times New Roman"/>
          <w:sz w:val="24"/>
          <w:szCs w:val="24"/>
          <w:lang w:eastAsia="et-EE"/>
        </w:rPr>
        <w:t>alates aprillist 2023 Soome;</w:t>
      </w:r>
    </w:p>
    <w:p w14:paraId="2B6B9D39" w14:textId="77777777" w:rsidR="00203C55" w:rsidRPr="0090577F" w:rsidRDefault="00203C55" w:rsidP="00203C55">
      <w:pPr>
        <w:numPr>
          <w:ilvl w:val="0"/>
          <w:numId w:val="1"/>
        </w:numPr>
        <w:shd w:val="clear" w:color="auto" w:fill="FFFFFF"/>
        <w:spacing w:after="240" w:line="240" w:lineRule="auto"/>
        <w:ind w:left="587"/>
        <w:jc w:val="both"/>
        <w:rPr>
          <w:rFonts w:ascii="Times New Roman" w:eastAsia="Times New Roman" w:hAnsi="Times New Roman" w:cs="Times New Roman"/>
          <w:sz w:val="24"/>
          <w:szCs w:val="24"/>
          <w:lang w:eastAsia="et-EE"/>
        </w:rPr>
      </w:pPr>
      <w:r w:rsidRPr="0090577F">
        <w:rPr>
          <w:rFonts w:ascii="Times New Roman" w:eastAsia="Times New Roman" w:hAnsi="Times New Roman" w:cs="Times New Roman"/>
          <w:sz w:val="24"/>
          <w:szCs w:val="24"/>
          <w:lang w:eastAsia="et-EE"/>
        </w:rPr>
        <w:t>alates märtsist 2024 Rootsi.</w:t>
      </w:r>
    </w:p>
    <w:p w14:paraId="564560AB" w14:textId="667A1129" w:rsidR="00BC1169" w:rsidRPr="0090577F" w:rsidRDefault="00BC1169" w:rsidP="00100DD8">
      <w:pPr>
        <w:shd w:val="clear" w:color="auto" w:fill="FFFFFF"/>
        <w:spacing w:after="240" w:line="240" w:lineRule="auto"/>
        <w:ind w:left="587"/>
        <w:jc w:val="both"/>
        <w:rPr>
          <w:rFonts w:ascii="Times New Roman" w:eastAsia="Times New Roman" w:hAnsi="Times New Roman" w:cs="Times New Roman"/>
          <w:sz w:val="24"/>
          <w:szCs w:val="24"/>
          <w:lang w:eastAsia="et-EE"/>
        </w:rPr>
      </w:pPr>
      <w:r w:rsidRPr="0090577F">
        <w:rPr>
          <w:rFonts w:ascii="Times New Roman" w:eastAsia="Times New Roman" w:hAnsi="Times New Roman" w:cs="Times New Roman"/>
          <w:sz w:val="24"/>
          <w:szCs w:val="24"/>
          <w:lang w:eastAsia="et-EE"/>
        </w:rPr>
        <w:t>Teise lausega lisatakse täiendavalt, et kodakondsuseta isikute ja hääleõiguslike välismaalaste valimisnimekirjadesse kandmise tingimused ja korra sätestab seadus. See võimaldab seadusandjal soovi korral sätestada veel lisatingimusi, milleks võib muuhulgas olla näiteks välismaalaste või kodakondsuseta isikute eraldi valimisnimekirja loomine.</w:t>
      </w:r>
    </w:p>
    <w:p w14:paraId="5A7B556B" w14:textId="77777777" w:rsidR="00203C55" w:rsidRPr="0090577F" w:rsidRDefault="00203C55" w:rsidP="00203C55">
      <w:pPr>
        <w:keepNext/>
        <w:spacing w:before="480" w:after="240"/>
        <w:jc w:val="both"/>
        <w:rPr>
          <w:rFonts w:ascii="Times New Roman" w:hAnsi="Times New Roman" w:cs="Times New Roman"/>
          <w:b/>
          <w:bCs/>
          <w:sz w:val="24"/>
          <w:szCs w:val="24"/>
          <w:shd w:val="clear" w:color="auto" w:fill="FFFFFF"/>
        </w:rPr>
      </w:pPr>
      <w:r w:rsidRPr="0090577F">
        <w:rPr>
          <w:rFonts w:ascii="Times New Roman" w:hAnsi="Times New Roman" w:cs="Times New Roman"/>
          <w:b/>
          <w:bCs/>
          <w:sz w:val="24"/>
          <w:szCs w:val="24"/>
          <w:shd w:val="clear" w:color="auto" w:fill="FFFFFF"/>
        </w:rPr>
        <w:t>3. Eelnõu terminoloogia</w:t>
      </w:r>
    </w:p>
    <w:p w14:paraId="4888CF2D" w14:textId="77777777" w:rsidR="00203C55" w:rsidRPr="0090577F" w:rsidRDefault="00203C55" w:rsidP="00203C55">
      <w:pPr>
        <w:pStyle w:val="Normaallaadveeb"/>
        <w:spacing w:before="240" w:beforeAutospacing="0" w:after="240" w:afterAutospacing="0"/>
        <w:jc w:val="both"/>
      </w:pPr>
      <w:r w:rsidRPr="0090577F">
        <w:t>Eelnõus ei ole kasutatud uusi, vähetuntud ega võõrkeelseid termineid.</w:t>
      </w:r>
    </w:p>
    <w:p w14:paraId="4380BB01" w14:textId="77777777" w:rsidR="00203C55" w:rsidRPr="0090577F" w:rsidRDefault="00203C55" w:rsidP="00203C55">
      <w:pPr>
        <w:keepNext/>
        <w:spacing w:before="480" w:after="240"/>
        <w:jc w:val="both"/>
        <w:rPr>
          <w:rFonts w:ascii="Times New Roman" w:hAnsi="Times New Roman" w:cs="Times New Roman"/>
          <w:b/>
          <w:bCs/>
          <w:sz w:val="24"/>
          <w:szCs w:val="24"/>
          <w:shd w:val="clear" w:color="auto" w:fill="FFFFFF"/>
        </w:rPr>
      </w:pPr>
      <w:r w:rsidRPr="0090577F">
        <w:rPr>
          <w:rFonts w:ascii="Times New Roman" w:hAnsi="Times New Roman" w:cs="Times New Roman"/>
          <w:b/>
          <w:bCs/>
          <w:sz w:val="24"/>
          <w:szCs w:val="24"/>
          <w:shd w:val="clear" w:color="auto" w:fill="FFFFFF"/>
        </w:rPr>
        <w:lastRenderedPageBreak/>
        <w:t>4. Eelnõu vastavus Euroopa Liidu õigusele</w:t>
      </w:r>
    </w:p>
    <w:p w14:paraId="3C92DE0B" w14:textId="77777777" w:rsidR="00203C55" w:rsidRPr="0090577F" w:rsidRDefault="00203C55" w:rsidP="00203C55">
      <w:pPr>
        <w:spacing w:before="240" w:after="240"/>
        <w:jc w:val="both"/>
        <w:rPr>
          <w:rFonts w:ascii="Times New Roman" w:hAnsi="Times New Roman" w:cs="Times New Roman"/>
          <w:sz w:val="24"/>
          <w:szCs w:val="24"/>
        </w:rPr>
      </w:pPr>
      <w:r w:rsidRPr="0090577F">
        <w:rPr>
          <w:rFonts w:ascii="Times New Roman" w:hAnsi="Times New Roman" w:cs="Times New Roman"/>
          <w:sz w:val="24"/>
          <w:szCs w:val="24"/>
        </w:rPr>
        <w:t>Eelnõu ei sisalda sätteid, mis oleksid vastuolus Euroopa Liidu õigusega.</w:t>
      </w:r>
    </w:p>
    <w:p w14:paraId="695D2D2D" w14:textId="77777777" w:rsidR="00203C55" w:rsidRPr="0090577F" w:rsidRDefault="00203C55" w:rsidP="00203C55">
      <w:pPr>
        <w:keepNext/>
        <w:spacing w:before="480" w:after="240"/>
        <w:jc w:val="both"/>
        <w:rPr>
          <w:rFonts w:ascii="Times New Roman" w:hAnsi="Times New Roman" w:cs="Times New Roman"/>
          <w:b/>
          <w:bCs/>
          <w:sz w:val="24"/>
          <w:szCs w:val="24"/>
          <w:shd w:val="clear" w:color="auto" w:fill="FFFFFF"/>
        </w:rPr>
      </w:pPr>
      <w:r w:rsidRPr="0090577F">
        <w:rPr>
          <w:rFonts w:ascii="Times New Roman" w:hAnsi="Times New Roman" w:cs="Times New Roman"/>
          <w:b/>
          <w:bCs/>
          <w:sz w:val="24"/>
          <w:szCs w:val="24"/>
          <w:shd w:val="clear" w:color="auto" w:fill="FFFFFF"/>
        </w:rPr>
        <w:t>5. Seaduse mõjud</w:t>
      </w:r>
    </w:p>
    <w:p w14:paraId="5EEBBEB8" w14:textId="30E1ACA5" w:rsidR="00203C55" w:rsidRPr="0090577F" w:rsidRDefault="009D26A4" w:rsidP="009D26A4">
      <w:pPr>
        <w:spacing w:before="240" w:after="240"/>
        <w:jc w:val="both"/>
        <w:rPr>
          <w:rFonts w:ascii="Times New Roman" w:hAnsi="Times New Roman" w:cs="Times New Roman"/>
          <w:spacing w:val="-2"/>
          <w:sz w:val="24"/>
          <w:szCs w:val="24"/>
        </w:rPr>
      </w:pPr>
      <w:r w:rsidRPr="0090577F">
        <w:rPr>
          <w:rFonts w:ascii="Times New Roman" w:eastAsia="Times New Roman" w:hAnsi="Times New Roman" w:cs="Times New Roman"/>
          <w:bCs/>
          <w:kern w:val="32"/>
          <w:sz w:val="24"/>
          <w:szCs w:val="24"/>
          <w:lang w:eastAsia="et-EE"/>
        </w:rPr>
        <w:t xml:space="preserve">Edaspidi on Eestis kohaliku omavalitsuse volikogu valimisel hääletamisõiguslikud kodakondsuseta isikud ja nende riikide kodanikud, kellega Eestil on juba siduvad ja ulatuslikud majanduslikud või </w:t>
      </w:r>
      <w:proofErr w:type="spellStart"/>
      <w:r w:rsidRPr="0090577F">
        <w:rPr>
          <w:rFonts w:ascii="Times New Roman" w:eastAsia="Times New Roman" w:hAnsi="Times New Roman" w:cs="Times New Roman"/>
          <w:bCs/>
          <w:kern w:val="32"/>
          <w:sz w:val="24"/>
          <w:szCs w:val="24"/>
          <w:lang w:eastAsia="et-EE"/>
        </w:rPr>
        <w:t>riigikaitselised</w:t>
      </w:r>
      <w:proofErr w:type="spellEnd"/>
      <w:r w:rsidRPr="0090577F">
        <w:rPr>
          <w:rFonts w:ascii="Times New Roman" w:eastAsia="Times New Roman" w:hAnsi="Times New Roman" w:cs="Times New Roman"/>
          <w:bCs/>
          <w:kern w:val="32"/>
          <w:sz w:val="24"/>
          <w:szCs w:val="24"/>
          <w:lang w:eastAsia="et-EE"/>
        </w:rPr>
        <w:t xml:space="preserve"> lepingud.</w:t>
      </w:r>
      <w:r w:rsidR="000405F7">
        <w:rPr>
          <w:rFonts w:ascii="Times New Roman" w:eastAsia="Times New Roman" w:hAnsi="Times New Roman" w:cs="Times New Roman"/>
          <w:bCs/>
          <w:kern w:val="32"/>
          <w:sz w:val="24"/>
          <w:szCs w:val="24"/>
          <w:lang w:eastAsia="et-EE"/>
        </w:rPr>
        <w:t xml:space="preserve"> Kodakondsustsensuse kehtestamisega väheneb kohaliku omavalitsuse valimisel hääleõiguslike elanike arv ligikaudu 72 000.</w:t>
      </w:r>
      <w:r w:rsidR="00EB6A63">
        <w:rPr>
          <w:rFonts w:ascii="Times New Roman" w:eastAsia="Times New Roman" w:hAnsi="Times New Roman" w:cs="Times New Roman"/>
          <w:bCs/>
          <w:kern w:val="32"/>
          <w:sz w:val="24"/>
          <w:szCs w:val="24"/>
          <w:lang w:eastAsia="et-EE"/>
        </w:rPr>
        <w:t xml:space="preserve"> </w:t>
      </w:r>
    </w:p>
    <w:p w14:paraId="150080B3" w14:textId="77777777" w:rsidR="00203C55" w:rsidRPr="0090577F" w:rsidRDefault="00203C55" w:rsidP="00203C55">
      <w:pPr>
        <w:keepNext/>
        <w:spacing w:before="480" w:after="240"/>
        <w:ind w:left="227" w:hanging="227"/>
        <w:jc w:val="both"/>
        <w:rPr>
          <w:rFonts w:ascii="Times New Roman" w:hAnsi="Times New Roman" w:cs="Times New Roman"/>
          <w:b/>
          <w:bCs/>
          <w:sz w:val="24"/>
          <w:szCs w:val="24"/>
          <w:shd w:val="clear" w:color="auto" w:fill="FFFFFF"/>
        </w:rPr>
      </w:pPr>
      <w:r w:rsidRPr="0090577F">
        <w:rPr>
          <w:rFonts w:ascii="Times New Roman" w:hAnsi="Times New Roman" w:cs="Times New Roman"/>
          <w:b/>
          <w:bCs/>
          <w:sz w:val="24"/>
          <w:szCs w:val="24"/>
          <w:shd w:val="clear" w:color="auto" w:fill="FFFFFF"/>
        </w:rPr>
        <w:t>6. Seaduse rakendamisega seotud riigi ja kohaliku omavalitsuse tegevused, eeldatavad kulud ja tulud</w:t>
      </w:r>
    </w:p>
    <w:p w14:paraId="4F55FD10" w14:textId="5BC9A918" w:rsidR="00203C55" w:rsidRPr="0090577F" w:rsidRDefault="00203C55" w:rsidP="00203C55">
      <w:pPr>
        <w:spacing w:before="240" w:after="240"/>
        <w:jc w:val="both"/>
        <w:rPr>
          <w:rFonts w:ascii="Times New Roman" w:hAnsi="Times New Roman" w:cs="Times New Roman"/>
          <w:sz w:val="24"/>
          <w:szCs w:val="24"/>
        </w:rPr>
      </w:pPr>
      <w:r w:rsidRPr="0090577F">
        <w:rPr>
          <w:rFonts w:ascii="Times New Roman" w:hAnsi="Times New Roman" w:cs="Times New Roman"/>
          <w:sz w:val="24"/>
          <w:szCs w:val="24"/>
        </w:rPr>
        <w:t xml:space="preserve">Seaduse rakendamisega ei kaasne täiendavaid kulusid ega tulusid. Valimiste korraldajatel tuleb </w:t>
      </w:r>
      <w:r w:rsidRPr="0090577F">
        <w:rPr>
          <w:rFonts w:ascii="Times New Roman" w:hAnsi="Times New Roman" w:cs="Times New Roman"/>
          <w:spacing w:val="-2"/>
          <w:sz w:val="24"/>
          <w:szCs w:val="24"/>
        </w:rPr>
        <w:t xml:space="preserve">valijate arvestuse pidamisel </w:t>
      </w:r>
      <w:r w:rsidR="009D26A4" w:rsidRPr="0090577F">
        <w:rPr>
          <w:rFonts w:ascii="Times New Roman" w:hAnsi="Times New Roman" w:cs="Times New Roman"/>
          <w:spacing w:val="-2"/>
          <w:sz w:val="24"/>
          <w:szCs w:val="24"/>
        </w:rPr>
        <w:t xml:space="preserve">kanda nimekirja Eesti kodanikud, kodakondsuseta isikud, Euroopa Liidu liikmesriigi ja </w:t>
      </w:r>
      <w:r w:rsidR="009D26A4" w:rsidRPr="00100DD8">
        <w:rPr>
          <w:rFonts w:ascii="Times New Roman" w:hAnsi="Times New Roman" w:cs="Times New Roman"/>
          <w:sz w:val="24"/>
          <w:szCs w:val="24"/>
        </w:rPr>
        <w:t>Põhja-Atlandi Lepingu Organisatsiooni osalisriigi kodanikud.</w:t>
      </w:r>
      <w:r w:rsidR="009D26A4" w:rsidRPr="0090577F">
        <w:rPr>
          <w:rFonts w:ascii="Times New Roman" w:hAnsi="Times New Roman" w:cs="Times New Roman"/>
          <w:spacing w:val="-2"/>
          <w:sz w:val="24"/>
          <w:szCs w:val="24"/>
        </w:rPr>
        <w:t xml:space="preserve"> </w:t>
      </w:r>
    </w:p>
    <w:p w14:paraId="30DA24D5" w14:textId="77777777" w:rsidR="00203C55" w:rsidRPr="0090577F" w:rsidRDefault="00203C55" w:rsidP="00203C55">
      <w:pPr>
        <w:keepNext/>
        <w:spacing w:before="480" w:after="240"/>
        <w:jc w:val="both"/>
        <w:rPr>
          <w:rFonts w:ascii="Times New Roman" w:hAnsi="Times New Roman" w:cs="Times New Roman"/>
          <w:b/>
          <w:bCs/>
          <w:sz w:val="24"/>
          <w:szCs w:val="24"/>
          <w:shd w:val="clear" w:color="auto" w:fill="FFFFFF"/>
        </w:rPr>
      </w:pPr>
      <w:r w:rsidRPr="0090577F">
        <w:rPr>
          <w:rFonts w:ascii="Times New Roman" w:hAnsi="Times New Roman" w:cs="Times New Roman"/>
          <w:b/>
          <w:bCs/>
          <w:sz w:val="24"/>
          <w:szCs w:val="24"/>
          <w:shd w:val="clear" w:color="auto" w:fill="FFFFFF"/>
        </w:rPr>
        <w:t>7. Seaduse jõustumine</w:t>
      </w:r>
    </w:p>
    <w:p w14:paraId="3BC3C6F0" w14:textId="77777777" w:rsidR="00203C55" w:rsidRPr="0090577F" w:rsidRDefault="00203C55" w:rsidP="00203C55">
      <w:pPr>
        <w:spacing w:before="240" w:after="240"/>
        <w:jc w:val="both"/>
        <w:rPr>
          <w:rFonts w:ascii="Times New Roman" w:hAnsi="Times New Roman" w:cs="Times New Roman"/>
          <w:sz w:val="24"/>
          <w:szCs w:val="24"/>
          <w:lang w:eastAsia="et-EE"/>
        </w:rPr>
      </w:pPr>
      <w:r w:rsidRPr="0090577F">
        <w:rPr>
          <w:rFonts w:ascii="Times New Roman" w:hAnsi="Times New Roman" w:cs="Times New Roman"/>
          <w:sz w:val="24"/>
          <w:szCs w:val="24"/>
          <w:lang w:eastAsia="et-EE"/>
        </w:rPr>
        <w:t>Põhiseaduse § 167 järgi jõustub põhiseaduse muutmise seadus selles sätestatud ajal, kuid mitte varem kui kolm kuud pärast väljakuulutamist.</w:t>
      </w:r>
    </w:p>
    <w:p w14:paraId="60B3AA92" w14:textId="77777777" w:rsidR="00203C55" w:rsidRPr="0090577F" w:rsidRDefault="00203C55" w:rsidP="00203C55">
      <w:pPr>
        <w:keepNext/>
        <w:spacing w:before="240"/>
        <w:jc w:val="both"/>
        <w:rPr>
          <w:rFonts w:ascii="Times New Roman" w:hAnsi="Times New Roman" w:cs="Times New Roman"/>
          <w:sz w:val="24"/>
          <w:szCs w:val="24"/>
          <w:lang w:eastAsia="et-EE"/>
        </w:rPr>
      </w:pPr>
      <w:r w:rsidRPr="0090577F">
        <w:rPr>
          <w:rFonts w:ascii="Times New Roman" w:hAnsi="Times New Roman" w:cs="Times New Roman"/>
          <w:sz w:val="24"/>
          <w:szCs w:val="24"/>
          <w:lang w:eastAsia="et-EE"/>
        </w:rPr>
        <w:t>Eelnõus ei nähta ette põhiseaduse §-s 167 sätestatust erinevat jõustumisaega.</w:t>
      </w:r>
    </w:p>
    <w:p w14:paraId="67A38485" w14:textId="77777777" w:rsidR="00203C55" w:rsidRPr="0090577F" w:rsidRDefault="00203C55" w:rsidP="00203C55">
      <w:pPr>
        <w:keepNext/>
        <w:pBdr>
          <w:bottom w:val="single" w:sz="4" w:space="1" w:color="auto"/>
        </w:pBdr>
        <w:shd w:val="clear" w:color="auto" w:fill="FFFFFF"/>
        <w:jc w:val="both"/>
        <w:rPr>
          <w:rFonts w:ascii="Times New Roman" w:hAnsi="Times New Roman" w:cs="Times New Roman"/>
          <w:sz w:val="24"/>
          <w:szCs w:val="24"/>
          <w:lang w:eastAsia="et-EE"/>
        </w:rPr>
      </w:pPr>
    </w:p>
    <w:p w14:paraId="071FC839" w14:textId="6F86480D" w:rsidR="00203C55" w:rsidRPr="0090577F" w:rsidRDefault="00D26F07" w:rsidP="00203C55">
      <w:pPr>
        <w:keepNext/>
        <w:shd w:val="clear" w:color="auto" w:fill="FFFFFF"/>
        <w:jc w:val="both"/>
        <w:rPr>
          <w:rFonts w:ascii="Times New Roman" w:hAnsi="Times New Roman" w:cs="Times New Roman"/>
          <w:sz w:val="24"/>
          <w:szCs w:val="24"/>
          <w:lang w:eastAsia="et-EE"/>
        </w:rPr>
      </w:pPr>
      <w:r>
        <w:rPr>
          <w:rFonts w:ascii="Times New Roman" w:hAnsi="Times New Roman" w:cs="Times New Roman"/>
          <w:sz w:val="24"/>
          <w:szCs w:val="24"/>
          <w:lang w:eastAsia="et-EE"/>
        </w:rPr>
        <w:t>Tallinnas,</w:t>
      </w:r>
      <w:r w:rsidR="00203C55" w:rsidRPr="0090577F">
        <w:rPr>
          <w:rFonts w:ascii="Times New Roman" w:hAnsi="Times New Roman" w:cs="Times New Roman"/>
          <w:sz w:val="24"/>
          <w:szCs w:val="24"/>
          <w:lang w:eastAsia="et-EE"/>
        </w:rPr>
        <w:tab/>
      </w:r>
      <w:r w:rsidR="00203C55" w:rsidRPr="0090577F">
        <w:rPr>
          <w:rFonts w:ascii="Times New Roman" w:hAnsi="Times New Roman" w:cs="Times New Roman"/>
          <w:sz w:val="24"/>
          <w:szCs w:val="24"/>
          <w:lang w:eastAsia="et-EE"/>
        </w:rPr>
        <w:tab/>
      </w:r>
      <w:r>
        <w:rPr>
          <w:rFonts w:ascii="Times New Roman" w:hAnsi="Times New Roman" w:cs="Times New Roman"/>
          <w:sz w:val="24"/>
          <w:szCs w:val="24"/>
        </w:rPr>
        <w:t xml:space="preserve">novembril </w:t>
      </w:r>
      <w:r w:rsidRPr="0090577F">
        <w:rPr>
          <w:rFonts w:ascii="Times New Roman" w:hAnsi="Times New Roman" w:cs="Times New Roman"/>
          <w:sz w:val="24"/>
          <w:szCs w:val="24"/>
        </w:rPr>
        <w:t>2024</w:t>
      </w:r>
      <w:r w:rsidR="001F1648">
        <w:rPr>
          <w:rFonts w:ascii="Times New Roman" w:hAnsi="Times New Roman" w:cs="Times New Roman"/>
          <w:sz w:val="24"/>
          <w:szCs w:val="24"/>
        </w:rPr>
        <w:t>.a.</w:t>
      </w:r>
    </w:p>
    <w:p w14:paraId="6950E761" w14:textId="77777777" w:rsidR="00203C55" w:rsidRPr="0090577F" w:rsidRDefault="00203C55" w:rsidP="00203C55">
      <w:pPr>
        <w:keepNext/>
        <w:shd w:val="clear" w:color="auto" w:fill="FFFFFF"/>
        <w:jc w:val="both"/>
        <w:rPr>
          <w:rFonts w:ascii="Times New Roman" w:hAnsi="Times New Roman" w:cs="Times New Roman"/>
          <w:sz w:val="24"/>
          <w:szCs w:val="24"/>
          <w:lang w:eastAsia="et-EE"/>
        </w:rPr>
      </w:pPr>
    </w:p>
    <w:p w14:paraId="5FC968AD" w14:textId="77777777" w:rsidR="00203C55" w:rsidRPr="0090577F" w:rsidRDefault="00203C55" w:rsidP="00203C55">
      <w:pPr>
        <w:keepNext/>
        <w:jc w:val="both"/>
        <w:rPr>
          <w:rFonts w:ascii="Times New Roman" w:hAnsi="Times New Roman" w:cs="Times New Roman"/>
          <w:sz w:val="24"/>
          <w:szCs w:val="24"/>
          <w:lang w:eastAsia="et-EE"/>
        </w:rPr>
      </w:pPr>
      <w:r w:rsidRPr="0090577F">
        <w:rPr>
          <w:rFonts w:ascii="Times New Roman" w:hAnsi="Times New Roman" w:cs="Times New Roman"/>
          <w:sz w:val="24"/>
          <w:szCs w:val="24"/>
          <w:lang w:eastAsia="et-EE"/>
        </w:rPr>
        <w:t>Algatajad:</w:t>
      </w:r>
    </w:p>
    <w:p w14:paraId="4CC19907" w14:textId="77777777" w:rsidR="00203C55" w:rsidRPr="00203C55" w:rsidRDefault="00203C55" w:rsidP="00203C55">
      <w:pPr>
        <w:jc w:val="both"/>
        <w:rPr>
          <w:rFonts w:ascii="Times New Roman" w:hAnsi="Times New Roman" w:cs="Times New Roman"/>
          <w:sz w:val="24"/>
          <w:szCs w:val="24"/>
        </w:rPr>
      </w:pPr>
    </w:p>
    <w:p w14:paraId="672A0C50" w14:textId="77777777" w:rsidR="002F6065" w:rsidRPr="002F6065" w:rsidRDefault="002F6065" w:rsidP="00203C55">
      <w:pPr>
        <w:jc w:val="both"/>
        <w:rPr>
          <w:rFonts w:ascii="Times New Roman" w:hAnsi="Times New Roman" w:cs="Times New Roman"/>
          <w:sz w:val="24"/>
          <w:szCs w:val="24"/>
        </w:rPr>
      </w:pPr>
    </w:p>
    <w:p w14:paraId="21B9AD4C" w14:textId="77777777" w:rsidR="004052B4" w:rsidRDefault="004052B4" w:rsidP="00203C55">
      <w:pPr>
        <w:jc w:val="both"/>
        <w:rPr>
          <w:rFonts w:ascii="Times New Roman" w:hAnsi="Times New Roman" w:cs="Times New Roman"/>
          <w:sz w:val="24"/>
          <w:szCs w:val="24"/>
        </w:rPr>
      </w:pPr>
    </w:p>
    <w:p w14:paraId="456D46F1" w14:textId="77777777" w:rsidR="009D64B1" w:rsidRPr="00203C55" w:rsidRDefault="009D64B1" w:rsidP="00203C55">
      <w:pPr>
        <w:jc w:val="both"/>
        <w:rPr>
          <w:rFonts w:ascii="Times New Roman" w:hAnsi="Times New Roman" w:cs="Times New Roman"/>
          <w:sz w:val="24"/>
          <w:szCs w:val="24"/>
        </w:rPr>
      </w:pPr>
    </w:p>
    <w:sectPr w:rsidR="009D64B1" w:rsidRPr="00203C55" w:rsidSect="00100DD8">
      <w:footerReference w:type="default" r:id="rId9"/>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A7CEE2" w14:textId="77777777" w:rsidR="002C5660" w:rsidRDefault="002C5660" w:rsidP="00203C55">
      <w:pPr>
        <w:spacing w:after="0" w:line="240" w:lineRule="auto"/>
      </w:pPr>
      <w:r>
        <w:separator/>
      </w:r>
    </w:p>
  </w:endnote>
  <w:endnote w:type="continuationSeparator" w:id="0">
    <w:p w14:paraId="071E265D" w14:textId="77777777" w:rsidR="002C5660" w:rsidRDefault="002C5660" w:rsidP="00203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48758"/>
      <w:docPartObj>
        <w:docPartGallery w:val="Page Numbers (Bottom of Page)"/>
        <w:docPartUnique/>
      </w:docPartObj>
    </w:sdtPr>
    <w:sdtContent>
      <w:p w14:paraId="7F27DD73" w14:textId="2EB8BAA0" w:rsidR="00B261E1" w:rsidRDefault="00B261E1">
        <w:pPr>
          <w:pStyle w:val="Jalus"/>
          <w:jc w:val="center"/>
        </w:pPr>
        <w:r>
          <w:fldChar w:fldCharType="begin"/>
        </w:r>
        <w:r>
          <w:instrText>PAGE   \* MERGEFORMAT</w:instrText>
        </w:r>
        <w:r>
          <w:fldChar w:fldCharType="separate"/>
        </w:r>
        <w:r>
          <w:t>2</w:t>
        </w:r>
        <w:r>
          <w:fldChar w:fldCharType="end"/>
        </w:r>
      </w:p>
    </w:sdtContent>
  </w:sdt>
  <w:p w14:paraId="063B6B17" w14:textId="77777777" w:rsidR="00B261E1" w:rsidRDefault="00B261E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D05E1A" w14:textId="77777777" w:rsidR="002C5660" w:rsidRDefault="002C5660" w:rsidP="00203C55">
      <w:pPr>
        <w:spacing w:after="0" w:line="240" w:lineRule="auto"/>
      </w:pPr>
      <w:r>
        <w:separator/>
      </w:r>
    </w:p>
  </w:footnote>
  <w:footnote w:type="continuationSeparator" w:id="0">
    <w:p w14:paraId="44750601" w14:textId="77777777" w:rsidR="002C5660" w:rsidRDefault="002C5660" w:rsidP="00203C55">
      <w:pPr>
        <w:spacing w:after="0" w:line="240" w:lineRule="auto"/>
      </w:pPr>
      <w:r>
        <w:continuationSeparator/>
      </w:r>
    </w:p>
  </w:footnote>
  <w:footnote w:id="1">
    <w:p w14:paraId="3A1875C3" w14:textId="77777777" w:rsidR="00203C55" w:rsidRPr="00100DD8" w:rsidRDefault="00203C55" w:rsidP="00203C55">
      <w:pPr>
        <w:pStyle w:val="Allmrkusetekst"/>
        <w:rPr>
          <w:rFonts w:ascii="Times New Roman" w:hAnsi="Times New Roman" w:cs="Times New Roman"/>
        </w:rPr>
      </w:pPr>
      <w:r w:rsidRPr="00100DD8">
        <w:rPr>
          <w:rStyle w:val="Allmrkuseviide"/>
          <w:rFonts w:ascii="Times New Roman" w:hAnsi="Times New Roman" w:cs="Times New Roman"/>
        </w:rPr>
        <w:footnoteRef/>
      </w:r>
      <w:r w:rsidRPr="00100DD8">
        <w:rPr>
          <w:rFonts w:ascii="Times New Roman" w:hAnsi="Times New Roman" w:cs="Times New Roman"/>
        </w:rPr>
        <w:t> </w:t>
      </w:r>
      <w:hyperlink r:id="rId1" w:history="1">
        <w:r w:rsidRPr="00100DD8">
          <w:rPr>
            <w:rStyle w:val="Hperlink"/>
            <w:rFonts w:ascii="Times New Roman" w:hAnsi="Times New Roman" w:cs="Times New Roman"/>
          </w:rPr>
          <w:t>https://www.riigiteataja.ee/akt/13320300</w:t>
        </w:r>
      </w:hyperlink>
    </w:p>
  </w:footnote>
  <w:footnote w:id="2">
    <w:p w14:paraId="576A99F9" w14:textId="77777777" w:rsidR="00203C55" w:rsidRPr="00100DD8" w:rsidRDefault="00203C55" w:rsidP="00203C55">
      <w:pPr>
        <w:pStyle w:val="Allmrkusetekst"/>
        <w:rPr>
          <w:rFonts w:ascii="Times New Roman" w:hAnsi="Times New Roman" w:cs="Times New Roman"/>
        </w:rPr>
      </w:pPr>
      <w:r w:rsidRPr="00100DD8">
        <w:rPr>
          <w:rStyle w:val="Allmrkuseviide"/>
          <w:rFonts w:ascii="Times New Roman" w:hAnsi="Times New Roman" w:cs="Times New Roman"/>
        </w:rPr>
        <w:footnoteRef/>
      </w:r>
      <w:r w:rsidRPr="00100DD8">
        <w:rPr>
          <w:rFonts w:ascii="Times New Roman" w:hAnsi="Times New Roman" w:cs="Times New Roman"/>
        </w:rPr>
        <w:t> </w:t>
      </w:r>
      <w:hyperlink r:id="rId2" w:history="1">
        <w:r w:rsidRPr="00100DD8">
          <w:rPr>
            <w:rStyle w:val="Hperlink"/>
            <w:rFonts w:ascii="Times New Roman" w:hAnsi="Times New Roman" w:cs="Times New Roman"/>
          </w:rPr>
          <w:t>https://ks.echr.coe.int/documents/d/echr-ks/guide_art_3_protocol_1_eng</w:t>
        </w:r>
      </w:hyperlink>
    </w:p>
  </w:footnote>
  <w:footnote w:id="3">
    <w:p w14:paraId="2FA1C105" w14:textId="77777777" w:rsidR="00203C55" w:rsidRPr="00100DD8" w:rsidRDefault="00203C55" w:rsidP="00203C55">
      <w:pPr>
        <w:pStyle w:val="Allmrkusetekst"/>
        <w:rPr>
          <w:rFonts w:ascii="Times New Roman" w:hAnsi="Times New Roman" w:cs="Times New Roman"/>
        </w:rPr>
      </w:pPr>
      <w:r w:rsidRPr="00100DD8">
        <w:rPr>
          <w:rStyle w:val="Allmrkuseviide"/>
          <w:rFonts w:ascii="Times New Roman" w:hAnsi="Times New Roman" w:cs="Times New Roman"/>
        </w:rPr>
        <w:footnoteRef/>
      </w:r>
      <w:r w:rsidRPr="00100DD8">
        <w:rPr>
          <w:rFonts w:ascii="Times New Roman" w:hAnsi="Times New Roman" w:cs="Times New Roman"/>
        </w:rPr>
        <w:t> </w:t>
      </w:r>
      <w:hyperlink r:id="rId3" w:history="1">
        <w:r w:rsidRPr="00100DD8">
          <w:rPr>
            <w:rStyle w:val="Hperlink"/>
            <w:rFonts w:ascii="Times New Roman" w:hAnsi="Times New Roman" w:cs="Times New Roman"/>
          </w:rPr>
          <w:t>https://www.venice.coe.int/webforms/documents/?pdf=CDL-AD(2002)023rev2-cor-e</w:t>
        </w:r>
      </w:hyperlink>
    </w:p>
  </w:footnote>
  <w:footnote w:id="4">
    <w:p w14:paraId="6B76B54E" w14:textId="77777777" w:rsidR="00203C55" w:rsidRPr="00A659D8" w:rsidRDefault="00203C55" w:rsidP="00203C55">
      <w:pPr>
        <w:pStyle w:val="Allmrkusetekst"/>
      </w:pPr>
      <w:r w:rsidRPr="00100DD8">
        <w:rPr>
          <w:rStyle w:val="Allmrkuseviide"/>
          <w:rFonts w:ascii="Times New Roman" w:hAnsi="Times New Roman" w:cs="Times New Roman"/>
        </w:rPr>
        <w:footnoteRef/>
      </w:r>
      <w:r w:rsidRPr="00100DD8">
        <w:rPr>
          <w:rFonts w:ascii="Times New Roman" w:hAnsi="Times New Roman" w:cs="Times New Roman"/>
        </w:rPr>
        <w:t xml:space="preserve"> Kättesaadav: </w:t>
      </w:r>
      <w:hyperlink r:id="rId4" w:history="1">
        <w:r w:rsidRPr="00100DD8">
          <w:rPr>
            <w:rFonts w:ascii="Times New Roman" w:hAnsi="Times New Roman" w:cs="Times New Roman"/>
          </w:rPr>
          <w:t>https://www.riigiteataja.ee/akt/28492</w:t>
        </w:r>
      </w:hyperlink>
    </w:p>
  </w:footnote>
  <w:footnote w:id="5">
    <w:p w14:paraId="44165F08" w14:textId="77777777" w:rsidR="00203C55" w:rsidRPr="00100DD8" w:rsidRDefault="00203C55" w:rsidP="00203C55">
      <w:pPr>
        <w:pStyle w:val="Allmrkusetekst"/>
        <w:rPr>
          <w:rFonts w:ascii="Times New Roman" w:hAnsi="Times New Roman" w:cs="Times New Roman"/>
        </w:rPr>
      </w:pPr>
      <w:r w:rsidRPr="00100DD8">
        <w:rPr>
          <w:rStyle w:val="Allmrkuseviide"/>
          <w:rFonts w:ascii="Times New Roman" w:hAnsi="Times New Roman" w:cs="Times New Roman"/>
        </w:rPr>
        <w:footnoteRef/>
      </w:r>
      <w:r w:rsidRPr="00100DD8">
        <w:rPr>
          <w:rFonts w:ascii="Times New Roman" w:hAnsi="Times New Roman" w:cs="Times New Roman"/>
        </w:rPr>
        <w:t xml:space="preserve"> Nõukogu direktiiv 94/80/EÜ, </w:t>
      </w:r>
      <w:hyperlink r:id="rId5" w:history="1">
        <w:r w:rsidRPr="00100DD8">
          <w:rPr>
            <w:rStyle w:val="Hperlink"/>
            <w:rFonts w:ascii="Times New Roman" w:hAnsi="Times New Roman" w:cs="Times New Roman"/>
          </w:rPr>
          <w:t xml:space="preserve">https://eur-lex.europa.eu/legal </w:t>
        </w:r>
        <w:proofErr w:type="spellStart"/>
        <w:r w:rsidRPr="00100DD8">
          <w:rPr>
            <w:rStyle w:val="Hperlink"/>
            <w:rFonts w:ascii="Times New Roman" w:hAnsi="Times New Roman" w:cs="Times New Roman"/>
          </w:rPr>
          <w:t>content</w:t>
        </w:r>
        <w:proofErr w:type="spellEnd"/>
        <w:r w:rsidRPr="00100DD8">
          <w:rPr>
            <w:rStyle w:val="Hperlink"/>
            <w:rFonts w:ascii="Times New Roman" w:hAnsi="Times New Roman" w:cs="Times New Roman"/>
          </w:rPr>
          <w:t>/ET/TXT/HTML/?</w:t>
        </w:r>
        <w:proofErr w:type="spellStart"/>
        <w:r w:rsidRPr="00100DD8">
          <w:rPr>
            <w:rStyle w:val="Hperlink"/>
            <w:rFonts w:ascii="Times New Roman" w:hAnsi="Times New Roman" w:cs="Times New Roman"/>
          </w:rPr>
          <w:t>uri</w:t>
        </w:r>
        <w:proofErr w:type="spellEnd"/>
        <w:r w:rsidRPr="00100DD8">
          <w:rPr>
            <w:rStyle w:val="Hperlink"/>
            <w:rFonts w:ascii="Times New Roman" w:hAnsi="Times New Roman" w:cs="Times New Roman"/>
          </w:rPr>
          <w:t>=CELEX:31994L0080&amp;from=ET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5F38CA"/>
    <w:multiLevelType w:val="multilevel"/>
    <w:tmpl w:val="C7AA7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6C79BB"/>
    <w:multiLevelType w:val="multilevel"/>
    <w:tmpl w:val="98CE7F5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581"/>
        </w:tabs>
        <w:ind w:left="1581" w:hanging="360"/>
      </w:pPr>
      <w:rPr>
        <w:rFonts w:ascii="Symbol" w:hAnsi="Symbol" w:hint="default"/>
        <w:sz w:val="20"/>
      </w:rPr>
    </w:lvl>
    <w:lvl w:ilvl="2">
      <w:start w:val="1"/>
      <w:numFmt w:val="bullet"/>
      <w:lvlText w:val=""/>
      <w:lvlJc w:val="left"/>
      <w:pPr>
        <w:tabs>
          <w:tab w:val="num" w:pos="2301"/>
        </w:tabs>
        <w:ind w:left="2301" w:hanging="360"/>
      </w:pPr>
      <w:rPr>
        <w:rFonts w:ascii="Symbol" w:hAnsi="Symbol" w:hint="default"/>
        <w:sz w:val="20"/>
      </w:rPr>
    </w:lvl>
    <w:lvl w:ilvl="3">
      <w:start w:val="1"/>
      <w:numFmt w:val="bullet"/>
      <w:lvlText w:val=""/>
      <w:lvlJc w:val="left"/>
      <w:pPr>
        <w:tabs>
          <w:tab w:val="num" w:pos="3021"/>
        </w:tabs>
        <w:ind w:left="3021" w:hanging="360"/>
      </w:pPr>
      <w:rPr>
        <w:rFonts w:ascii="Symbol" w:hAnsi="Symbol" w:hint="default"/>
        <w:sz w:val="20"/>
      </w:rPr>
    </w:lvl>
    <w:lvl w:ilvl="4">
      <w:start w:val="1"/>
      <w:numFmt w:val="bullet"/>
      <w:lvlText w:val=""/>
      <w:lvlJc w:val="left"/>
      <w:pPr>
        <w:tabs>
          <w:tab w:val="num" w:pos="3741"/>
        </w:tabs>
        <w:ind w:left="3741" w:hanging="360"/>
      </w:pPr>
      <w:rPr>
        <w:rFonts w:ascii="Symbol" w:hAnsi="Symbol" w:hint="default"/>
        <w:sz w:val="20"/>
      </w:rPr>
    </w:lvl>
    <w:lvl w:ilvl="5">
      <w:start w:val="1"/>
      <w:numFmt w:val="bullet"/>
      <w:lvlText w:val=""/>
      <w:lvlJc w:val="left"/>
      <w:pPr>
        <w:tabs>
          <w:tab w:val="num" w:pos="4461"/>
        </w:tabs>
        <w:ind w:left="4461" w:hanging="360"/>
      </w:pPr>
      <w:rPr>
        <w:rFonts w:ascii="Symbol" w:hAnsi="Symbol" w:hint="default"/>
        <w:sz w:val="20"/>
      </w:rPr>
    </w:lvl>
    <w:lvl w:ilvl="6">
      <w:start w:val="1"/>
      <w:numFmt w:val="bullet"/>
      <w:lvlText w:val=""/>
      <w:lvlJc w:val="left"/>
      <w:pPr>
        <w:tabs>
          <w:tab w:val="num" w:pos="5181"/>
        </w:tabs>
        <w:ind w:left="5181" w:hanging="360"/>
      </w:pPr>
      <w:rPr>
        <w:rFonts w:ascii="Symbol" w:hAnsi="Symbol" w:hint="default"/>
        <w:sz w:val="20"/>
      </w:rPr>
    </w:lvl>
    <w:lvl w:ilvl="7">
      <w:start w:val="1"/>
      <w:numFmt w:val="bullet"/>
      <w:lvlText w:val=""/>
      <w:lvlJc w:val="left"/>
      <w:pPr>
        <w:tabs>
          <w:tab w:val="num" w:pos="5901"/>
        </w:tabs>
        <w:ind w:left="5901" w:hanging="360"/>
      </w:pPr>
      <w:rPr>
        <w:rFonts w:ascii="Symbol" w:hAnsi="Symbol" w:hint="default"/>
        <w:sz w:val="20"/>
      </w:rPr>
    </w:lvl>
    <w:lvl w:ilvl="8">
      <w:start w:val="1"/>
      <w:numFmt w:val="bullet"/>
      <w:lvlText w:val=""/>
      <w:lvlJc w:val="left"/>
      <w:pPr>
        <w:tabs>
          <w:tab w:val="num" w:pos="6621"/>
        </w:tabs>
        <w:ind w:left="6621" w:hanging="360"/>
      </w:pPr>
      <w:rPr>
        <w:rFonts w:ascii="Symbol" w:hAnsi="Symbol" w:hint="default"/>
        <w:sz w:val="20"/>
      </w:rPr>
    </w:lvl>
  </w:abstractNum>
  <w:num w:numId="1" w16cid:durableId="1317882316">
    <w:abstractNumId w:val="1"/>
  </w:num>
  <w:num w:numId="2" w16cid:durableId="813136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065"/>
    <w:rsid w:val="00015112"/>
    <w:rsid w:val="000405F7"/>
    <w:rsid w:val="000770DE"/>
    <w:rsid w:val="00087BAB"/>
    <w:rsid w:val="00091B54"/>
    <w:rsid w:val="000C71FF"/>
    <w:rsid w:val="000E0900"/>
    <w:rsid w:val="00100DD8"/>
    <w:rsid w:val="00102C9B"/>
    <w:rsid w:val="0011227B"/>
    <w:rsid w:val="001A61D2"/>
    <w:rsid w:val="001D505A"/>
    <w:rsid w:val="001E69E7"/>
    <w:rsid w:val="001F1648"/>
    <w:rsid w:val="00203C55"/>
    <w:rsid w:val="002425CD"/>
    <w:rsid w:val="00266499"/>
    <w:rsid w:val="002A3BCD"/>
    <w:rsid w:val="002B5FEA"/>
    <w:rsid w:val="002C5660"/>
    <w:rsid w:val="002F6065"/>
    <w:rsid w:val="00322AC8"/>
    <w:rsid w:val="00327477"/>
    <w:rsid w:val="0034230D"/>
    <w:rsid w:val="00364AC7"/>
    <w:rsid w:val="00390FDB"/>
    <w:rsid w:val="003B7500"/>
    <w:rsid w:val="004052B4"/>
    <w:rsid w:val="004254C2"/>
    <w:rsid w:val="00432ACD"/>
    <w:rsid w:val="005853E8"/>
    <w:rsid w:val="00592B3D"/>
    <w:rsid w:val="0060504A"/>
    <w:rsid w:val="006114B0"/>
    <w:rsid w:val="00646E76"/>
    <w:rsid w:val="006628F8"/>
    <w:rsid w:val="006A4626"/>
    <w:rsid w:val="006D30FD"/>
    <w:rsid w:val="00772C61"/>
    <w:rsid w:val="007D01DF"/>
    <w:rsid w:val="007D5983"/>
    <w:rsid w:val="00800993"/>
    <w:rsid w:val="0080751D"/>
    <w:rsid w:val="00807CF8"/>
    <w:rsid w:val="0082530B"/>
    <w:rsid w:val="00843536"/>
    <w:rsid w:val="00845F64"/>
    <w:rsid w:val="008F3783"/>
    <w:rsid w:val="0090577F"/>
    <w:rsid w:val="00911560"/>
    <w:rsid w:val="00994620"/>
    <w:rsid w:val="009954EB"/>
    <w:rsid w:val="009D26A4"/>
    <w:rsid w:val="009D64B1"/>
    <w:rsid w:val="00AA502B"/>
    <w:rsid w:val="00B054F5"/>
    <w:rsid w:val="00B261E1"/>
    <w:rsid w:val="00B44E6A"/>
    <w:rsid w:val="00B54BD4"/>
    <w:rsid w:val="00B6275B"/>
    <w:rsid w:val="00B71CD2"/>
    <w:rsid w:val="00BC1169"/>
    <w:rsid w:val="00BC682E"/>
    <w:rsid w:val="00C0785E"/>
    <w:rsid w:val="00CC2EA3"/>
    <w:rsid w:val="00CE270C"/>
    <w:rsid w:val="00D116B9"/>
    <w:rsid w:val="00D26F07"/>
    <w:rsid w:val="00D33EEA"/>
    <w:rsid w:val="00DC66B4"/>
    <w:rsid w:val="00E82446"/>
    <w:rsid w:val="00EB6A63"/>
    <w:rsid w:val="00F01B2E"/>
    <w:rsid w:val="00F446C0"/>
    <w:rsid w:val="00FB00D2"/>
    <w:rsid w:val="00FC4C50"/>
    <w:rsid w:val="00FE7D2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0B2AD"/>
  <w15:chartTrackingRefBased/>
  <w15:docId w15:val="{6EE8D3CC-4EB6-421A-8092-308226F5E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2F60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2F60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2F6065"/>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2F6065"/>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2F6065"/>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2F6065"/>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2F6065"/>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2F6065"/>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2F6065"/>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2F6065"/>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2F6065"/>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2F6065"/>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2F6065"/>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2F6065"/>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2F6065"/>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2F6065"/>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2F6065"/>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2F6065"/>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2F60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2F6065"/>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2F6065"/>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2F6065"/>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2F6065"/>
    <w:pPr>
      <w:spacing w:before="160"/>
      <w:jc w:val="center"/>
    </w:pPr>
    <w:rPr>
      <w:i/>
      <w:iCs/>
      <w:color w:val="404040" w:themeColor="text1" w:themeTint="BF"/>
    </w:rPr>
  </w:style>
  <w:style w:type="character" w:customStyle="1" w:styleId="TsitaatMrk">
    <w:name w:val="Tsitaat Märk"/>
    <w:basedOn w:val="Liguvaikefont"/>
    <w:link w:val="Tsitaat"/>
    <w:uiPriority w:val="29"/>
    <w:rsid w:val="002F6065"/>
    <w:rPr>
      <w:i/>
      <w:iCs/>
      <w:color w:val="404040" w:themeColor="text1" w:themeTint="BF"/>
    </w:rPr>
  </w:style>
  <w:style w:type="paragraph" w:styleId="Loendilik">
    <w:name w:val="List Paragraph"/>
    <w:basedOn w:val="Normaallaad"/>
    <w:uiPriority w:val="34"/>
    <w:qFormat/>
    <w:rsid w:val="002F6065"/>
    <w:pPr>
      <w:ind w:left="720"/>
      <w:contextualSpacing/>
    </w:pPr>
  </w:style>
  <w:style w:type="character" w:styleId="Selgeltmrgatavrhutus">
    <w:name w:val="Intense Emphasis"/>
    <w:basedOn w:val="Liguvaikefont"/>
    <w:uiPriority w:val="21"/>
    <w:qFormat/>
    <w:rsid w:val="002F6065"/>
    <w:rPr>
      <w:i/>
      <w:iCs/>
      <w:color w:val="0F4761" w:themeColor="accent1" w:themeShade="BF"/>
    </w:rPr>
  </w:style>
  <w:style w:type="paragraph" w:styleId="Selgeltmrgatavtsitaat">
    <w:name w:val="Intense Quote"/>
    <w:basedOn w:val="Normaallaad"/>
    <w:next w:val="Normaallaad"/>
    <w:link w:val="SelgeltmrgatavtsitaatMrk"/>
    <w:uiPriority w:val="30"/>
    <w:qFormat/>
    <w:rsid w:val="002F60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2F6065"/>
    <w:rPr>
      <w:i/>
      <w:iCs/>
      <w:color w:val="0F4761" w:themeColor="accent1" w:themeShade="BF"/>
    </w:rPr>
  </w:style>
  <w:style w:type="character" w:styleId="Selgeltmrgatavviide">
    <w:name w:val="Intense Reference"/>
    <w:basedOn w:val="Liguvaikefont"/>
    <w:uiPriority w:val="32"/>
    <w:qFormat/>
    <w:rsid w:val="002F6065"/>
    <w:rPr>
      <w:b/>
      <w:bCs/>
      <w:smallCaps/>
      <w:color w:val="0F4761" w:themeColor="accent1" w:themeShade="BF"/>
      <w:spacing w:val="5"/>
    </w:rPr>
  </w:style>
  <w:style w:type="paragraph" w:styleId="Normaallaadveeb">
    <w:name w:val="Normal (Web)"/>
    <w:basedOn w:val="Normaallaad"/>
    <w:uiPriority w:val="99"/>
    <w:semiHidden/>
    <w:rsid w:val="00203C55"/>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character" w:styleId="Hperlink">
    <w:name w:val="Hyperlink"/>
    <w:basedOn w:val="Liguvaikefont"/>
    <w:uiPriority w:val="99"/>
    <w:semiHidden/>
    <w:rsid w:val="00203C55"/>
    <w:rPr>
      <w:color w:val="467886" w:themeColor="hyperlink"/>
      <w:u w:val="single"/>
    </w:rPr>
  </w:style>
  <w:style w:type="character" w:customStyle="1" w:styleId="AllmrkusetekstMrk">
    <w:name w:val="Allmärkuse tekst Märk"/>
    <w:aliases w:val="Allmärkuse tekst Märk Märk1 Märk,Märk Märk Märk Märk Märk,Märk Märk1 Märk Märk,Märk Märk Märk1 Märk,Märk Märk2 Märk,Märk Märk Märk Märk1,Märk Märk1 Märk1,Märk Märk Märk2,Märk Märk3"/>
    <w:basedOn w:val="Liguvaikefont"/>
    <w:link w:val="Allmrkusetekst"/>
    <w:uiPriority w:val="99"/>
    <w:semiHidden/>
    <w:locked/>
    <w:rsid w:val="00203C55"/>
    <w:rPr>
      <w:kern w:val="0"/>
      <w:sz w:val="20"/>
      <w:szCs w:val="20"/>
      <w14:ligatures w14:val="none"/>
    </w:rPr>
  </w:style>
  <w:style w:type="paragraph" w:styleId="Allmrkusetekst">
    <w:name w:val="footnote text"/>
    <w:aliases w:val="Allmärkuse tekst Märk Märk1,Märk Märk Märk Märk,Märk Märk1 Märk,Märk Märk Märk1,Märk Märk2,Märk Märk Märk,Märk Märk1,Märk Märk,Märk"/>
    <w:basedOn w:val="Normaallaad"/>
    <w:link w:val="AllmrkusetekstMrk"/>
    <w:uiPriority w:val="99"/>
    <w:semiHidden/>
    <w:unhideWhenUsed/>
    <w:qFormat/>
    <w:rsid w:val="00203C55"/>
    <w:pPr>
      <w:spacing w:after="0" w:line="240" w:lineRule="auto"/>
    </w:pPr>
    <w:rPr>
      <w:kern w:val="0"/>
      <w:sz w:val="20"/>
      <w:szCs w:val="20"/>
      <w14:ligatures w14:val="none"/>
    </w:rPr>
  </w:style>
  <w:style w:type="character" w:customStyle="1" w:styleId="AllmrkusetekstMrk1">
    <w:name w:val="Allmärkuse tekst Märk1"/>
    <w:basedOn w:val="Liguvaikefont"/>
    <w:uiPriority w:val="99"/>
    <w:semiHidden/>
    <w:rsid w:val="00203C55"/>
    <w:rPr>
      <w:sz w:val="20"/>
      <w:szCs w:val="20"/>
    </w:rPr>
  </w:style>
  <w:style w:type="paragraph" w:customStyle="1" w:styleId="paragraph">
    <w:name w:val="paragraph"/>
    <w:basedOn w:val="Normaallaad"/>
    <w:uiPriority w:val="99"/>
    <w:semiHidden/>
    <w:rsid w:val="00203C55"/>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character" w:styleId="Allmrkuseviide">
    <w:name w:val="footnote reference"/>
    <w:basedOn w:val="Liguvaikefont"/>
    <w:uiPriority w:val="99"/>
    <w:semiHidden/>
    <w:unhideWhenUsed/>
    <w:qFormat/>
    <w:rsid w:val="00203C55"/>
    <w:rPr>
      <w:vertAlign w:val="superscript"/>
    </w:rPr>
  </w:style>
  <w:style w:type="paragraph" w:styleId="Pis">
    <w:name w:val="header"/>
    <w:basedOn w:val="Normaallaad"/>
    <w:link w:val="PisMrk"/>
    <w:uiPriority w:val="99"/>
    <w:unhideWhenUsed/>
    <w:rsid w:val="00B261E1"/>
    <w:pPr>
      <w:tabs>
        <w:tab w:val="center" w:pos="4536"/>
        <w:tab w:val="right" w:pos="9072"/>
      </w:tabs>
      <w:spacing w:after="0" w:line="240" w:lineRule="auto"/>
    </w:pPr>
  </w:style>
  <w:style w:type="character" w:customStyle="1" w:styleId="PisMrk">
    <w:name w:val="Päis Märk"/>
    <w:basedOn w:val="Liguvaikefont"/>
    <w:link w:val="Pis"/>
    <w:uiPriority w:val="99"/>
    <w:rsid w:val="00B261E1"/>
  </w:style>
  <w:style w:type="paragraph" w:styleId="Jalus">
    <w:name w:val="footer"/>
    <w:basedOn w:val="Normaallaad"/>
    <w:link w:val="JalusMrk"/>
    <w:uiPriority w:val="99"/>
    <w:unhideWhenUsed/>
    <w:rsid w:val="00B261E1"/>
    <w:pPr>
      <w:tabs>
        <w:tab w:val="center" w:pos="4536"/>
        <w:tab w:val="right" w:pos="9072"/>
      </w:tabs>
      <w:spacing w:after="0" w:line="240" w:lineRule="auto"/>
    </w:pPr>
  </w:style>
  <w:style w:type="character" w:customStyle="1" w:styleId="JalusMrk">
    <w:name w:val="Jalus Märk"/>
    <w:basedOn w:val="Liguvaikefont"/>
    <w:link w:val="Jalus"/>
    <w:uiPriority w:val="99"/>
    <w:rsid w:val="00B261E1"/>
  </w:style>
  <w:style w:type="character" w:styleId="Kommentaariviide">
    <w:name w:val="annotation reference"/>
    <w:basedOn w:val="Liguvaikefont"/>
    <w:uiPriority w:val="99"/>
    <w:semiHidden/>
    <w:unhideWhenUsed/>
    <w:rsid w:val="00994620"/>
    <w:rPr>
      <w:sz w:val="16"/>
      <w:szCs w:val="16"/>
    </w:rPr>
  </w:style>
  <w:style w:type="paragraph" w:styleId="Kommentaaritekst">
    <w:name w:val="annotation text"/>
    <w:basedOn w:val="Normaallaad"/>
    <w:link w:val="KommentaaritekstMrk"/>
    <w:uiPriority w:val="99"/>
    <w:unhideWhenUsed/>
    <w:rsid w:val="00994620"/>
    <w:pPr>
      <w:spacing w:line="240" w:lineRule="auto"/>
    </w:pPr>
    <w:rPr>
      <w:sz w:val="20"/>
      <w:szCs w:val="20"/>
    </w:rPr>
  </w:style>
  <w:style w:type="character" w:customStyle="1" w:styleId="KommentaaritekstMrk">
    <w:name w:val="Kommentaari tekst Märk"/>
    <w:basedOn w:val="Liguvaikefont"/>
    <w:link w:val="Kommentaaritekst"/>
    <w:uiPriority w:val="99"/>
    <w:rsid w:val="00994620"/>
    <w:rPr>
      <w:sz w:val="20"/>
      <w:szCs w:val="20"/>
    </w:rPr>
  </w:style>
  <w:style w:type="paragraph" w:styleId="Kommentaariteema">
    <w:name w:val="annotation subject"/>
    <w:basedOn w:val="Kommentaaritekst"/>
    <w:next w:val="Kommentaaritekst"/>
    <w:link w:val="KommentaariteemaMrk"/>
    <w:uiPriority w:val="99"/>
    <w:semiHidden/>
    <w:unhideWhenUsed/>
    <w:rsid w:val="00994620"/>
    <w:rPr>
      <w:b/>
      <w:bCs/>
    </w:rPr>
  </w:style>
  <w:style w:type="character" w:customStyle="1" w:styleId="KommentaariteemaMrk">
    <w:name w:val="Kommentaari teema Märk"/>
    <w:basedOn w:val="KommentaaritekstMrk"/>
    <w:link w:val="Kommentaariteema"/>
    <w:uiPriority w:val="99"/>
    <w:semiHidden/>
    <w:rsid w:val="00994620"/>
    <w:rPr>
      <w:b/>
      <w:bCs/>
      <w:sz w:val="20"/>
      <w:szCs w:val="20"/>
    </w:rPr>
  </w:style>
  <w:style w:type="paragraph" w:styleId="Redaktsioon">
    <w:name w:val="Revision"/>
    <w:hidden/>
    <w:uiPriority w:val="99"/>
    <w:semiHidden/>
    <w:rsid w:val="009954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8167073">
      <w:bodyDiv w:val="1"/>
      <w:marLeft w:val="0"/>
      <w:marRight w:val="0"/>
      <w:marTop w:val="0"/>
      <w:marBottom w:val="0"/>
      <w:divBdr>
        <w:top w:val="none" w:sz="0" w:space="0" w:color="auto"/>
        <w:left w:val="none" w:sz="0" w:space="0" w:color="auto"/>
        <w:bottom w:val="none" w:sz="0" w:space="0" w:color="auto"/>
        <w:right w:val="none" w:sz="0" w:space="0" w:color="auto"/>
      </w:divBdr>
    </w:div>
    <w:div w:id="1002010319">
      <w:bodyDiv w:val="1"/>
      <w:marLeft w:val="0"/>
      <w:marRight w:val="0"/>
      <w:marTop w:val="0"/>
      <w:marBottom w:val="0"/>
      <w:divBdr>
        <w:top w:val="none" w:sz="0" w:space="0" w:color="auto"/>
        <w:left w:val="none" w:sz="0" w:space="0" w:color="auto"/>
        <w:bottom w:val="none" w:sz="0" w:space="0" w:color="auto"/>
        <w:right w:val="none" w:sz="0" w:space="0" w:color="auto"/>
      </w:divBdr>
    </w:div>
    <w:div w:id="1757827940">
      <w:bodyDiv w:val="1"/>
      <w:marLeft w:val="0"/>
      <w:marRight w:val="0"/>
      <w:marTop w:val="0"/>
      <w:marBottom w:val="0"/>
      <w:divBdr>
        <w:top w:val="none" w:sz="0" w:space="0" w:color="auto"/>
        <w:left w:val="none" w:sz="0" w:space="0" w:color="auto"/>
        <w:bottom w:val="none" w:sz="0" w:space="0" w:color="auto"/>
        <w:right w:val="none" w:sz="0" w:space="0" w:color="auto"/>
      </w:divBdr>
    </w:div>
    <w:div w:id="1911887184">
      <w:bodyDiv w:val="1"/>
      <w:marLeft w:val="0"/>
      <w:marRight w:val="0"/>
      <w:marTop w:val="0"/>
      <w:marBottom w:val="0"/>
      <w:divBdr>
        <w:top w:val="none" w:sz="0" w:space="0" w:color="auto"/>
        <w:left w:val="none" w:sz="0" w:space="0" w:color="auto"/>
        <w:bottom w:val="none" w:sz="0" w:space="0" w:color="auto"/>
        <w:right w:val="none" w:sz="0" w:space="0" w:color="auto"/>
      </w:divBdr>
    </w:div>
    <w:div w:id="1933202929">
      <w:bodyDiv w:val="1"/>
      <w:marLeft w:val="0"/>
      <w:marRight w:val="0"/>
      <w:marTop w:val="0"/>
      <w:marBottom w:val="0"/>
      <w:divBdr>
        <w:top w:val="none" w:sz="0" w:space="0" w:color="auto"/>
        <w:left w:val="none" w:sz="0" w:space="0" w:color="auto"/>
        <w:bottom w:val="none" w:sz="0" w:space="0" w:color="auto"/>
        <w:right w:val="none" w:sz="0" w:space="0" w:color="auto"/>
      </w:divBdr>
    </w:div>
    <w:div w:id="197907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nice.coe.int/webforms/documents/?pdf=CDL-AD(2002)023rev2-co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venice.coe.int/webforms/documents/?pdf=CDL-AD(2002)023rev2-cor-e" TargetMode="External"/><Relationship Id="rId2" Type="http://schemas.openxmlformats.org/officeDocument/2006/relationships/hyperlink" Target="https://ks.echr.coe.int/documents/d/echr-ks/guide_art_3_protocol_1_eng" TargetMode="External"/><Relationship Id="rId1" Type="http://schemas.openxmlformats.org/officeDocument/2006/relationships/hyperlink" Target="https://www.riigiteataja.ee/akt/13320300" TargetMode="External"/><Relationship Id="rId5" Type="http://schemas.openxmlformats.org/officeDocument/2006/relationships/hyperlink" Target="https://eur-lex.europa.eu/legal%20content/ET/TXT/HTML/?uri=CELEX:31994L0080&amp;from=ET" TargetMode="External"/><Relationship Id="rId4" Type="http://schemas.openxmlformats.org/officeDocument/2006/relationships/hyperlink" Target="https://www.riigiteataja.ee/akt/28492"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FFD55-74F3-4B76-83FF-F02EFA829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1301</Words>
  <Characters>7551</Characters>
  <Application>Microsoft Office Word</Application>
  <DocSecurity>0</DocSecurity>
  <Lines>62</Lines>
  <Paragraphs>17</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Riigikogu</Company>
  <LinksUpToDate>false</LinksUpToDate>
  <CharactersWithSpaces>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Erle Enneveer</dc:creator>
  <cp:keywords/>
  <dc:description/>
  <cp:lastModifiedBy>Anita Möldre</cp:lastModifiedBy>
  <cp:revision>6</cp:revision>
  <cp:lastPrinted>2024-11-06T14:51:00Z</cp:lastPrinted>
  <dcterms:created xsi:type="dcterms:W3CDTF">2024-11-06T14:50:00Z</dcterms:created>
  <dcterms:modified xsi:type="dcterms:W3CDTF">2024-11-06T16:09:00Z</dcterms:modified>
</cp:coreProperties>
</file>