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FFAB" w14:textId="77777777" w:rsidR="008B5C71" w:rsidRPr="008B5C71" w:rsidRDefault="008B5C71" w:rsidP="008B5C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B5C71">
        <w:rPr>
          <w:rFonts w:ascii="Times New Roman" w:eastAsia="Calibri" w:hAnsi="Times New Roman" w:cs="Times New Roman"/>
          <w:kern w:val="0"/>
          <w:sz w:val="24"/>
          <w14:ligatures w14:val="none"/>
        </w:rPr>
        <w:t>Elektrituruseaduse muutmise seaduse eelnõu seletuskirja juurde</w:t>
      </w:r>
    </w:p>
    <w:p w14:paraId="40321BC3" w14:textId="6F59A59F" w:rsidR="008B5C71" w:rsidRDefault="008B5C71" w:rsidP="008B5C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B5C7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Lisa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3</w:t>
      </w:r>
    </w:p>
    <w:p w14:paraId="21D69A6B" w14:textId="723D8ABF" w:rsidR="008B5C71" w:rsidRDefault="008B5C71" w:rsidP="008B5C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Rakendusakti kavandid</w:t>
      </w:r>
    </w:p>
    <w:p w14:paraId="3BED2D20" w14:textId="77777777" w:rsidR="00D00018" w:rsidRDefault="00D00018" w:rsidP="008B5C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B74AD9B" w14:textId="2259FAC8" w:rsidR="008B5C71" w:rsidRPr="008B5C71" w:rsidRDefault="008B5C71" w:rsidP="008B5C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Kavand 1</w:t>
      </w:r>
    </w:p>
    <w:p w14:paraId="0B31E49C" w14:textId="77777777" w:rsidR="008B5C71" w:rsidRDefault="008B5C71" w:rsidP="00AA1B31">
      <w:pPr>
        <w:pStyle w:val="Tekst"/>
        <w:jc w:val="center"/>
      </w:pPr>
    </w:p>
    <w:p w14:paraId="206B76F5" w14:textId="283B6F84" w:rsidR="00142003" w:rsidRDefault="00142003" w:rsidP="00AA1B31">
      <w:pPr>
        <w:pStyle w:val="Tekst"/>
        <w:jc w:val="center"/>
      </w:pPr>
      <w:r>
        <w:t>KLIIMAMINISTER</w:t>
      </w:r>
    </w:p>
    <w:p w14:paraId="55BF6ADF" w14:textId="77777777" w:rsidR="00142003" w:rsidRDefault="00142003" w:rsidP="00AA1B31">
      <w:pPr>
        <w:pStyle w:val="Tekst"/>
        <w:jc w:val="center"/>
      </w:pPr>
      <w:r>
        <w:t>MÄÄRUS</w:t>
      </w:r>
    </w:p>
    <w:p w14:paraId="61EFF11F" w14:textId="567029BD" w:rsidR="005D4B97" w:rsidRPr="00A17499" w:rsidRDefault="005D4B97" w:rsidP="005D4B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3A289" w14:textId="77777777" w:rsidR="00EF4EB6" w:rsidRPr="00A17499" w:rsidRDefault="000D6983" w:rsidP="00EF4E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Majandus- ja taristuministri </w:t>
      </w:r>
      <w:r w:rsidR="00BE2C1C"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5. veebruari </w:t>
      </w:r>
      <w:r w:rsidR="00634FAF" w:rsidRPr="00A17499">
        <w:rPr>
          <w:rFonts w:ascii="Times New Roman" w:hAnsi="Times New Roman" w:cs="Times New Roman"/>
          <w:b/>
          <w:bCs/>
          <w:sz w:val="24"/>
          <w:szCs w:val="24"/>
        </w:rPr>
        <w:t>2019. a</w:t>
      </w:r>
    </w:p>
    <w:p w14:paraId="1B1E7023" w14:textId="77777777" w:rsidR="00EF4EB6" w:rsidRPr="00A17499" w:rsidRDefault="00634FAF" w:rsidP="00EF4E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määruse nr </w:t>
      </w:r>
      <w:r w:rsidR="00A85D2F"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072742" w:rsidRPr="00A17499">
        <w:rPr>
          <w:rFonts w:ascii="Times New Roman" w:hAnsi="Times New Roman" w:cs="Times New Roman"/>
          <w:b/>
          <w:bCs/>
          <w:sz w:val="24"/>
          <w:szCs w:val="24"/>
        </w:rPr>
        <w:t>„Elektrituru toimimise võrgueeskiri“</w:t>
      </w:r>
    </w:p>
    <w:p w14:paraId="2265AAE2" w14:textId="050E92B2" w:rsidR="005D4B97" w:rsidRPr="00A17499" w:rsidRDefault="00072742" w:rsidP="00EF4E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499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5F17CC85" w14:textId="77777777" w:rsidR="00915786" w:rsidRPr="00A17499" w:rsidRDefault="00915786" w:rsidP="005D4B97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7B132D8" w14:textId="092B9F5F" w:rsidR="00895C66" w:rsidRPr="00652EF9" w:rsidRDefault="00895C66" w:rsidP="00AA1B31">
      <w:pPr>
        <w:pStyle w:val="Tekst"/>
      </w:pPr>
      <w:r w:rsidRPr="00652EF9">
        <w:t xml:space="preserve">Määrus kehtestatakse elektrituruseaduse </w:t>
      </w:r>
      <w:r w:rsidR="00963216">
        <w:t xml:space="preserve">§ </w:t>
      </w:r>
      <w:r w:rsidR="00963216" w:rsidRPr="00955B6B">
        <w:rPr>
          <w:rFonts w:eastAsia="Times New Roman"/>
          <w:color w:val="000000"/>
          <w:bdr w:val="none" w:sz="0" w:space="0" w:color="auto" w:frame="1"/>
          <w:lang w:eastAsia="et-EE"/>
        </w:rPr>
        <w:t>21</w:t>
      </w:r>
      <w:r w:rsidR="00963216" w:rsidRPr="00955B6B"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 w:rsidR="00963216"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 xml:space="preserve"> </w:t>
      </w:r>
      <w:r w:rsidR="00963216">
        <w:rPr>
          <w:rFonts w:eastAsia="Times New Roman"/>
          <w:color w:val="000000"/>
          <w:bdr w:val="none" w:sz="0" w:space="0" w:color="auto" w:frame="1"/>
          <w:lang w:eastAsia="et-EE"/>
        </w:rPr>
        <w:t xml:space="preserve">lõike </w:t>
      </w:r>
      <w:r w:rsidR="00454424">
        <w:rPr>
          <w:rFonts w:eastAsia="Times New Roman"/>
          <w:color w:val="000000"/>
          <w:bdr w:val="none" w:sz="0" w:space="0" w:color="auto" w:frame="1"/>
          <w:lang w:eastAsia="et-EE"/>
        </w:rPr>
        <w:t>7</w:t>
      </w:r>
      <w:r w:rsidR="00963216">
        <w:rPr>
          <w:rFonts w:eastAsia="Times New Roman"/>
          <w:color w:val="000000"/>
          <w:bdr w:val="none" w:sz="0" w:space="0" w:color="auto" w:frame="1"/>
          <w:lang w:eastAsia="et-EE"/>
        </w:rPr>
        <w:t xml:space="preserve"> </w:t>
      </w:r>
      <w:r w:rsidRPr="00652EF9">
        <w:t>alusel.</w:t>
      </w:r>
    </w:p>
    <w:p w14:paraId="2911DB8F" w14:textId="77777777" w:rsidR="000D7FD6" w:rsidRPr="00652EF9" w:rsidRDefault="000D7FD6" w:rsidP="00AA1B31">
      <w:pPr>
        <w:pStyle w:val="Tekst"/>
      </w:pPr>
    </w:p>
    <w:p w14:paraId="5CAF6527" w14:textId="56EF9AA9" w:rsidR="000D7FD6" w:rsidRPr="00652EF9" w:rsidRDefault="000D7FD6" w:rsidP="00E51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Majandus- ja taristuministri 5. veebruari 2019. a</w:t>
      </w:r>
      <w:r w:rsidR="0018418D"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määruse</w:t>
      </w:r>
      <w:r w:rsidR="0018418D"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nr 10 „Elektrituru toimimise võrgueeskiri“</w:t>
      </w:r>
      <w:r w:rsidR="00E51BC6"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tehakse järgmised muudatused:</w:t>
      </w:r>
    </w:p>
    <w:p w14:paraId="1A8F00EB" w14:textId="77777777" w:rsidR="00895C66" w:rsidRDefault="00895C66" w:rsidP="00AA1B31">
      <w:pPr>
        <w:pStyle w:val="Tekst"/>
      </w:pPr>
    </w:p>
    <w:p w14:paraId="53D39926" w14:textId="698DB9BB" w:rsidR="00695A16" w:rsidRDefault="00695A16" w:rsidP="00AA1B31">
      <w:pPr>
        <w:pStyle w:val="Tekst"/>
        <w:rPr>
          <w:rFonts w:eastAsia="Times New Roman"/>
          <w:color w:val="000000"/>
          <w:bdr w:val="none" w:sz="0" w:space="0" w:color="auto" w:frame="1"/>
          <w:lang w:eastAsia="et-EE"/>
        </w:rPr>
      </w:pPr>
      <w:r w:rsidRPr="00F26764">
        <w:rPr>
          <w:b/>
          <w:bCs/>
        </w:rPr>
        <w:t>1)</w:t>
      </w:r>
      <w:r>
        <w:t xml:space="preserve"> määruse </w:t>
      </w:r>
      <w:proofErr w:type="spellStart"/>
      <w:r>
        <w:t>preambulit</w:t>
      </w:r>
      <w:proofErr w:type="spellEnd"/>
      <w:r>
        <w:t xml:space="preserve"> täiendatakse pärast sõna „elektrituruseaduse“ tekstiosaga „§ </w:t>
      </w:r>
      <w:r w:rsidRPr="00955B6B">
        <w:rPr>
          <w:rFonts w:eastAsia="Times New Roman"/>
          <w:color w:val="000000"/>
          <w:bdr w:val="none" w:sz="0" w:space="0" w:color="auto" w:frame="1"/>
          <w:lang w:eastAsia="et-EE"/>
        </w:rPr>
        <w:t>21</w:t>
      </w:r>
      <w:r w:rsidRPr="00955B6B"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lang w:eastAsia="et-EE"/>
        </w:rPr>
        <w:t xml:space="preserve">lõike </w:t>
      </w:r>
      <w:r w:rsidR="00454424">
        <w:rPr>
          <w:rFonts w:eastAsia="Times New Roman"/>
          <w:color w:val="000000"/>
          <w:bdr w:val="none" w:sz="0" w:space="0" w:color="auto" w:frame="1"/>
          <w:lang w:eastAsia="et-EE"/>
        </w:rPr>
        <w:t>7</w:t>
      </w:r>
      <w:r>
        <w:rPr>
          <w:rFonts w:eastAsia="Times New Roman"/>
          <w:color w:val="000000"/>
          <w:bdr w:val="none" w:sz="0" w:space="0" w:color="auto" w:frame="1"/>
          <w:lang w:eastAsia="et-EE"/>
        </w:rPr>
        <w:t xml:space="preserve"> ja“;</w:t>
      </w:r>
    </w:p>
    <w:p w14:paraId="7A5D1F4D" w14:textId="77777777" w:rsidR="00F26764" w:rsidRDefault="00F26764" w:rsidP="00AA1B31">
      <w:pPr>
        <w:pStyle w:val="Tekst"/>
      </w:pPr>
    </w:p>
    <w:p w14:paraId="15948415" w14:textId="538A1F39" w:rsidR="00F26764" w:rsidRDefault="00F26764" w:rsidP="00AA1B31">
      <w:pPr>
        <w:pStyle w:val="Tekst"/>
      </w:pPr>
      <w:r w:rsidRPr="003846EE">
        <w:rPr>
          <w:b/>
          <w:bCs/>
        </w:rPr>
        <w:t xml:space="preserve">2) </w:t>
      </w:r>
      <w:r>
        <w:t>paragrahvi 2 lõiget 2 täiendatakse pun</w:t>
      </w:r>
      <w:r w:rsidR="00DC1C18">
        <w:t>k</w:t>
      </w:r>
      <w:r>
        <w:t>ti</w:t>
      </w:r>
      <w:r w:rsidR="00C85156">
        <w:t>dega</w:t>
      </w:r>
      <w:r>
        <w:t xml:space="preserve"> 5</w:t>
      </w:r>
      <w:r w:rsidR="00C85156">
        <w:t xml:space="preserve"> ja 6</w:t>
      </w:r>
      <w:r>
        <w:t xml:space="preserve"> järgmises sõnastuses:</w:t>
      </w:r>
    </w:p>
    <w:p w14:paraId="3F2E720F" w14:textId="74DCB69B" w:rsidR="00C85156" w:rsidRDefault="00F26764" w:rsidP="00AA1B31">
      <w:pPr>
        <w:pStyle w:val="Tekst"/>
      </w:pPr>
      <w:r>
        <w:t>„</w:t>
      </w:r>
      <w:r w:rsidR="00DC1C18">
        <w:t xml:space="preserve">5) </w:t>
      </w:r>
      <w:r>
        <w:t xml:space="preserve">iseseisev </w:t>
      </w:r>
      <w:proofErr w:type="spellStart"/>
      <w:r>
        <w:t>agregaator</w:t>
      </w:r>
      <w:proofErr w:type="spellEnd"/>
      <w:r>
        <w:t xml:space="preserve"> on </w:t>
      </w:r>
      <w:proofErr w:type="spellStart"/>
      <w:r>
        <w:t>agregaator</w:t>
      </w:r>
      <w:proofErr w:type="spellEnd"/>
      <w:r>
        <w:t>, kelle agregeeritav mõõtepunkt ei asu tema enda bilansihalduri bilansipiirkonnas</w:t>
      </w:r>
      <w:r w:rsidR="00F17F06">
        <w:t>;</w:t>
      </w:r>
    </w:p>
    <w:p w14:paraId="70B20418" w14:textId="77777777" w:rsidR="00C85156" w:rsidRDefault="00C85156" w:rsidP="00AA1B31">
      <w:pPr>
        <w:pStyle w:val="Tekst"/>
      </w:pPr>
    </w:p>
    <w:p w14:paraId="229DD387" w14:textId="7D1B19F0" w:rsidR="00695A16" w:rsidRPr="00652EF9" w:rsidRDefault="00C85156" w:rsidP="00AA1B31">
      <w:pPr>
        <w:pStyle w:val="Tekst"/>
      </w:pPr>
      <w:r>
        <w:t xml:space="preserve">6) tarbimiskaja referentshind on </w:t>
      </w:r>
      <w:r w:rsidR="00F17F06">
        <w:t>elektrihinna piirmäär</w:t>
      </w:r>
      <w:r w:rsidR="00004D01">
        <w:t xml:space="preserve">, mida kasutatakse käesoleva määruse </w:t>
      </w:r>
      <w:r w:rsidR="00454424">
        <w:t xml:space="preserve">§-s </w:t>
      </w:r>
      <w:r w:rsidR="00004D01">
        <w:t>33</w:t>
      </w:r>
      <w:r w:rsidR="00004D01">
        <w:rPr>
          <w:vertAlign w:val="superscript"/>
        </w:rPr>
        <w:t>9</w:t>
      </w:r>
      <w:r w:rsidR="00004D01">
        <w:t xml:space="preserve"> nimetatud tarbimiskaja arveldamiseks</w:t>
      </w:r>
      <w:r w:rsidR="00F17F06">
        <w:t>.</w:t>
      </w:r>
      <w:r w:rsidR="003B0C47">
        <w:t>“;</w:t>
      </w:r>
    </w:p>
    <w:p w14:paraId="01907552" w14:textId="77777777" w:rsidR="00976B32" w:rsidRPr="00652EF9" w:rsidRDefault="00976B32" w:rsidP="00AA1B31">
      <w:pPr>
        <w:pStyle w:val="Tekst"/>
      </w:pPr>
    </w:p>
    <w:p w14:paraId="5301B9D6" w14:textId="7C9281F4" w:rsidR="00976B32" w:rsidRPr="00652EF9" w:rsidRDefault="00E20B41" w:rsidP="00AA1B31">
      <w:pPr>
        <w:pStyle w:val="Tekst"/>
      </w:pPr>
      <w:r>
        <w:rPr>
          <w:b/>
        </w:rPr>
        <w:t>3</w:t>
      </w:r>
      <w:r w:rsidR="00976B32" w:rsidRPr="00A17499">
        <w:rPr>
          <w:b/>
        </w:rPr>
        <w:t>)</w:t>
      </w:r>
      <w:r w:rsidR="00976B32" w:rsidRPr="00652EF9">
        <w:t xml:space="preserve"> määrus</w:t>
      </w:r>
      <w:r w:rsidR="00652EF9" w:rsidRPr="00652EF9">
        <w:rPr>
          <w:bCs/>
        </w:rPr>
        <w:t>t</w:t>
      </w:r>
      <w:r w:rsidR="00976B32" w:rsidRPr="00652EF9">
        <w:t xml:space="preserve"> </w:t>
      </w:r>
      <w:r w:rsidR="00652EF9" w:rsidRPr="00652EF9">
        <w:rPr>
          <w:bCs/>
        </w:rPr>
        <w:t>täiendatakse</w:t>
      </w:r>
      <w:r w:rsidR="00652EF9">
        <w:t xml:space="preserve"> 4</w:t>
      </w:r>
      <w:r w:rsidR="00652EF9" w:rsidRPr="00A17499">
        <w:rPr>
          <w:vertAlign w:val="superscript"/>
        </w:rPr>
        <w:t>3</w:t>
      </w:r>
      <w:r w:rsidR="00652EF9" w:rsidRPr="00652EF9">
        <w:rPr>
          <w:bCs/>
        </w:rPr>
        <w:t>.</w:t>
      </w:r>
      <w:r w:rsidR="00976B32" w:rsidRPr="00652EF9">
        <w:t xml:space="preserve"> peatük</w:t>
      </w:r>
      <w:r w:rsidR="00652EF9" w:rsidRPr="00652EF9">
        <w:rPr>
          <w:bCs/>
        </w:rPr>
        <w:t>iga</w:t>
      </w:r>
      <w:r w:rsidR="00976B32" w:rsidRPr="00652EF9">
        <w:t xml:space="preserve"> järgmises sõnastuses:</w:t>
      </w:r>
    </w:p>
    <w:p w14:paraId="3060886D" w14:textId="41EC5DCF" w:rsidR="00976B32" w:rsidRPr="00652EF9" w:rsidRDefault="00976B32" w:rsidP="00DC1C18">
      <w:pPr>
        <w:pStyle w:val="Tekst"/>
        <w:jc w:val="center"/>
      </w:pPr>
      <w:r w:rsidRPr="00652EF9">
        <w:t>„</w:t>
      </w:r>
      <w:r w:rsidR="00652EF9" w:rsidRPr="00A17499">
        <w:rPr>
          <w:b/>
          <w:bCs/>
        </w:rPr>
        <w:t>4</w:t>
      </w:r>
      <w:r w:rsidR="00652EF9" w:rsidRPr="00A17499">
        <w:rPr>
          <w:b/>
          <w:bCs/>
          <w:vertAlign w:val="superscript"/>
        </w:rPr>
        <w:t>3</w:t>
      </w:r>
      <w:r w:rsidR="00A67B89" w:rsidRPr="00A17499">
        <w:rPr>
          <w:b/>
          <w:bCs/>
        </w:rPr>
        <w:t>. peatükk</w:t>
      </w:r>
    </w:p>
    <w:p w14:paraId="06BA7AB1" w14:textId="72670362" w:rsidR="00A67B89" w:rsidRPr="00A17499" w:rsidRDefault="00047770" w:rsidP="00DC1C18">
      <w:pPr>
        <w:pStyle w:val="Tekst"/>
        <w:jc w:val="center"/>
      </w:pPr>
      <w:r>
        <w:rPr>
          <w:b/>
          <w:bCs/>
        </w:rPr>
        <w:t>Tarbimiskajas osalemise tingimus</w:t>
      </w:r>
      <w:r w:rsidR="00AE4B68">
        <w:rPr>
          <w:b/>
          <w:bCs/>
        </w:rPr>
        <w:t>tega seotud t</w:t>
      </w:r>
      <w:r w:rsidR="00AE4B68" w:rsidRPr="00AE4B68">
        <w:rPr>
          <w:b/>
          <w:bCs/>
        </w:rPr>
        <w:t>äpsemad õigused ja kohustused</w:t>
      </w:r>
    </w:p>
    <w:p w14:paraId="2C0345E8" w14:textId="77777777" w:rsidR="00062C4E" w:rsidRDefault="00062C4E" w:rsidP="00AA1B31">
      <w:pPr>
        <w:pStyle w:val="Tekst"/>
        <w:rPr>
          <w:b/>
          <w:bCs/>
        </w:rPr>
      </w:pPr>
    </w:p>
    <w:p w14:paraId="4ED5B79C" w14:textId="3C0185F1" w:rsidR="00186BD2" w:rsidRPr="00652EF9" w:rsidRDefault="002E576F" w:rsidP="00AA1B31">
      <w:pPr>
        <w:pStyle w:val="Tekst"/>
      </w:pPr>
      <w:r w:rsidRPr="00A17499">
        <w:rPr>
          <w:b/>
          <w:bCs/>
        </w:rPr>
        <w:t xml:space="preserve">§ </w:t>
      </w:r>
      <w:bookmarkStart w:id="0" w:name="_Hlk174958752"/>
      <w:r w:rsidRPr="00A17499">
        <w:rPr>
          <w:b/>
          <w:bCs/>
        </w:rPr>
        <w:t>3</w:t>
      </w:r>
      <w:r w:rsidR="00652EF9" w:rsidRPr="00A17499">
        <w:rPr>
          <w:b/>
          <w:bCs/>
        </w:rPr>
        <w:t>3</w:t>
      </w:r>
      <w:r w:rsidR="00E861A2">
        <w:rPr>
          <w:b/>
          <w:bCs/>
          <w:vertAlign w:val="superscript"/>
        </w:rPr>
        <w:t>8</w:t>
      </w:r>
      <w:bookmarkEnd w:id="0"/>
      <w:r w:rsidRPr="00A17499">
        <w:rPr>
          <w:b/>
          <w:bCs/>
        </w:rPr>
        <w:t>.</w:t>
      </w:r>
      <w:r w:rsidRPr="00652EF9">
        <w:t xml:space="preserve"> </w:t>
      </w:r>
      <w:r w:rsidR="00AD00A9" w:rsidRPr="00AD00A9">
        <w:rPr>
          <w:b/>
          <w:bCs/>
        </w:rPr>
        <w:t>Süsteemihalduri tegevus</w:t>
      </w:r>
    </w:p>
    <w:p w14:paraId="0086C66F" w14:textId="4B16802B" w:rsidR="00AE7CC9" w:rsidRDefault="00AE7CC9" w:rsidP="00AA1B31">
      <w:pPr>
        <w:pStyle w:val="Tekst"/>
        <w:rPr>
          <w:bdr w:val="none" w:sz="0" w:space="0" w:color="auto" w:frame="1"/>
        </w:rPr>
      </w:pPr>
    </w:p>
    <w:p w14:paraId="3DA4A1BC" w14:textId="662C89AD" w:rsidR="008050F6" w:rsidRDefault="008050F6" w:rsidP="001645D7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(1)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C8515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>gregaatori osalemise</w:t>
      </w:r>
      <w:r w:rsidR="00B12B9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korra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l elektriturul </w:t>
      </w:r>
      <w:r w:rsidR="00B12B9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osutab 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süsteemihaldur </w:t>
      </w:r>
      <w:proofErr w:type="spellStart"/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bilansiplaanidevahelist</w:t>
      </w:r>
      <w:proofErr w:type="spellEnd"/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energia ülekandmis</w:t>
      </w:r>
      <w:r w:rsidR="00B12B9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 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 w:rsidR="00B12B98">
        <w:rPr>
          <w:rFonts w:eastAsia="Times New Roman" w:cs="Times New Roman"/>
          <w:color w:val="000000"/>
          <w:bdr w:val="none" w:sz="0" w:space="0" w:color="auto" w:frame="1"/>
          <w:lang w:eastAsia="et-EE"/>
        </w:rPr>
        <w:t>eenust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ja arvelda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b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seotud turuosaliste vahel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ning maksab hüvitist lähtudes käesoleva määruse </w:t>
      </w:r>
      <w:r w:rsidR="00B90C1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§-st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33</w:t>
      </w:r>
      <w:r w:rsidR="00E861A2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9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  <w:r w:rsidR="0011142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Bilansipiirkonnasisesel agregeerimisel </w:t>
      </w:r>
      <w:r w:rsidR="0011142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toimub arveldamine 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>turuosaliste vahel.</w:t>
      </w:r>
    </w:p>
    <w:p w14:paraId="53F50DC0" w14:textId="77777777" w:rsidR="001645D7" w:rsidRDefault="001645D7" w:rsidP="00AA1B31">
      <w:pPr>
        <w:pStyle w:val="Tekst"/>
        <w:rPr>
          <w:bdr w:val="none" w:sz="0" w:space="0" w:color="auto" w:frame="1"/>
        </w:rPr>
      </w:pPr>
    </w:p>
    <w:p w14:paraId="7BDA7CC5" w14:textId="0BE5B0E8" w:rsidR="00331F38" w:rsidRPr="00652EF9" w:rsidRDefault="00AE7CC9" w:rsidP="00AA1B31">
      <w:pPr>
        <w:pStyle w:val="Tekst"/>
        <w:rPr>
          <w:bdr w:val="none" w:sz="0" w:space="0" w:color="auto" w:frame="1"/>
        </w:rPr>
      </w:pPr>
      <w:r>
        <w:rPr>
          <w:bdr w:val="none" w:sz="0" w:space="0" w:color="auto" w:frame="1"/>
        </w:rPr>
        <w:t>(</w:t>
      </w:r>
      <w:r w:rsidR="008050F6">
        <w:rPr>
          <w:bdr w:val="none" w:sz="0" w:space="0" w:color="auto" w:frame="1"/>
        </w:rPr>
        <w:t>2</w:t>
      </w:r>
      <w:r>
        <w:rPr>
          <w:bdr w:val="none" w:sz="0" w:space="0" w:color="auto" w:frame="1"/>
        </w:rPr>
        <w:t xml:space="preserve">) </w:t>
      </w:r>
      <w:r w:rsidR="00047770">
        <w:rPr>
          <w:bdr w:val="none" w:sz="0" w:space="0" w:color="auto" w:frame="1"/>
        </w:rPr>
        <w:t>Süsteemihaldur:</w:t>
      </w:r>
    </w:p>
    <w:p w14:paraId="07F18722" w14:textId="643D6064" w:rsidR="00331F38" w:rsidRPr="00652EF9" w:rsidRDefault="00331F38" w:rsidP="00331F38">
      <w:pPr>
        <w:pStyle w:val="BodyText"/>
        <w:spacing w:after="0" w:line="240" w:lineRule="auto"/>
        <w:rPr>
          <w:rFonts w:cs="Times New Roman"/>
        </w:rPr>
      </w:pPr>
      <w:r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1) </w:t>
      </w:r>
      <w:r w:rsidR="00B12B98">
        <w:rPr>
          <w:rFonts w:cs="Times New Roman"/>
        </w:rPr>
        <w:t>selgitab</w:t>
      </w:r>
      <w:r w:rsidR="00B12B98" w:rsidRPr="00652EF9">
        <w:rPr>
          <w:rFonts w:cs="Times New Roman"/>
        </w:rPr>
        <w:t xml:space="preserve"> </w:t>
      </w:r>
      <w:r w:rsidRPr="00652EF9">
        <w:rPr>
          <w:rFonts w:cs="Times New Roman"/>
        </w:rPr>
        <w:t>tarbimiskajaga seotud bilan</w:t>
      </w:r>
      <w:r w:rsidR="00B12B98">
        <w:rPr>
          <w:rFonts w:cs="Times New Roman"/>
        </w:rPr>
        <w:t>s</w:t>
      </w:r>
      <w:r w:rsidRPr="00652EF9">
        <w:rPr>
          <w:rFonts w:cs="Times New Roman"/>
        </w:rPr>
        <w:t>si ja tarne</w:t>
      </w:r>
      <w:r w:rsidR="00B12B98">
        <w:rPr>
          <w:rFonts w:cs="Times New Roman"/>
        </w:rPr>
        <w:t>id</w:t>
      </w:r>
      <w:r w:rsidRPr="00652EF9">
        <w:rPr>
          <w:rFonts w:cs="Times New Roman"/>
        </w:rPr>
        <w:t>;</w:t>
      </w:r>
    </w:p>
    <w:p w14:paraId="57D9D6AD" w14:textId="114214B0" w:rsidR="00331F38" w:rsidRPr="00652EF9" w:rsidRDefault="00331F38" w:rsidP="00331F38">
      <w:pPr>
        <w:pStyle w:val="BodyText"/>
        <w:spacing w:after="0" w:line="240" w:lineRule="auto"/>
        <w:rPr>
          <w:rFonts w:cs="Times New Roman"/>
        </w:rPr>
      </w:pPr>
      <w:r w:rsidRPr="00652EF9">
        <w:rPr>
          <w:rFonts w:cs="Times New Roman"/>
        </w:rPr>
        <w:t>2)</w:t>
      </w:r>
      <w:r w:rsidR="00AF37F7" w:rsidRPr="00652EF9">
        <w:rPr>
          <w:rFonts w:cs="Times New Roman"/>
        </w:rPr>
        <w:t xml:space="preserve"> arvutab </w:t>
      </w:r>
      <w:r w:rsidR="000A60DA" w:rsidRPr="00652EF9">
        <w:rPr>
          <w:rFonts w:cs="Times New Roman"/>
        </w:rPr>
        <w:t xml:space="preserve">tarbimiskaja referentshinna </w:t>
      </w:r>
      <w:r w:rsidR="00D15C31">
        <w:rPr>
          <w:rFonts w:cs="Times New Roman"/>
        </w:rPr>
        <w:t xml:space="preserve">käesoleva lõike </w:t>
      </w:r>
      <w:r w:rsidR="003846EE">
        <w:rPr>
          <w:rFonts w:cs="Times New Roman"/>
        </w:rPr>
        <w:t>punktis 4 nimetatud referentshinna arvutamise metoodika</w:t>
      </w:r>
      <w:r w:rsidR="00CF4EC3">
        <w:rPr>
          <w:rFonts w:cs="Times New Roman"/>
        </w:rPr>
        <w:t xml:space="preserve"> järgi</w:t>
      </w:r>
      <w:r w:rsidR="000A60DA" w:rsidRPr="00652EF9">
        <w:rPr>
          <w:rFonts w:cs="Times New Roman"/>
        </w:rPr>
        <w:t>;</w:t>
      </w:r>
    </w:p>
    <w:p w14:paraId="3CCCC009" w14:textId="35C6F937" w:rsidR="00CF5B68" w:rsidRDefault="00331F38" w:rsidP="008E290F">
      <w:pPr>
        <w:pStyle w:val="BodyText"/>
        <w:spacing w:after="0" w:line="240" w:lineRule="auto"/>
        <w:rPr>
          <w:rFonts w:cs="Times New Roman"/>
        </w:rPr>
      </w:pPr>
      <w:r w:rsidRPr="00652EF9">
        <w:rPr>
          <w:rFonts w:cs="Times New Roman"/>
        </w:rPr>
        <w:t xml:space="preserve">3) arveldab turuosalistega </w:t>
      </w:r>
      <w:r w:rsidR="00D32AD2" w:rsidRPr="00652EF9">
        <w:rPr>
          <w:rFonts w:cs="Times New Roman"/>
        </w:rPr>
        <w:t>käesoleva</w:t>
      </w:r>
      <w:r w:rsidR="00454424">
        <w:rPr>
          <w:rFonts w:cs="Times New Roman"/>
        </w:rPr>
        <w:t>s</w:t>
      </w:r>
      <w:r w:rsidR="00D32AD2" w:rsidRPr="00652EF9">
        <w:rPr>
          <w:rFonts w:cs="Times New Roman"/>
        </w:rPr>
        <w:t xml:space="preserve"> määruse</w:t>
      </w:r>
      <w:r w:rsidR="00454424">
        <w:rPr>
          <w:rFonts w:cs="Times New Roman"/>
        </w:rPr>
        <w:t>s</w:t>
      </w:r>
      <w:r w:rsidR="00D32AD2" w:rsidRPr="00652EF9">
        <w:rPr>
          <w:rFonts w:cs="Times New Roman"/>
        </w:rPr>
        <w:t xml:space="preserve"> ja</w:t>
      </w:r>
      <w:r w:rsidRPr="00652EF9">
        <w:rPr>
          <w:rFonts w:cs="Times New Roman"/>
        </w:rPr>
        <w:t xml:space="preserve"> </w:t>
      </w:r>
      <w:r w:rsidR="00652EF9">
        <w:rPr>
          <w:rFonts w:cs="Times New Roman"/>
        </w:rPr>
        <w:t xml:space="preserve">elektrituruseaduse </w:t>
      </w:r>
      <w:r w:rsidRPr="00652EF9">
        <w:rPr>
          <w:rFonts w:cs="Times New Roman"/>
        </w:rPr>
        <w:t>§ 21</w:t>
      </w:r>
      <w:r w:rsidRPr="00652EF9">
        <w:rPr>
          <w:rFonts w:cs="Times New Roman"/>
          <w:vertAlign w:val="superscript"/>
        </w:rPr>
        <w:t>4</w:t>
      </w:r>
      <w:r w:rsidRPr="00652EF9">
        <w:rPr>
          <w:rFonts w:cs="Times New Roman"/>
        </w:rPr>
        <w:t xml:space="preserve"> lõikes 3 nimetatud tarbimiskajas osalemise tingimuste</w:t>
      </w:r>
      <w:r w:rsidR="00CF4EC3">
        <w:rPr>
          <w:rFonts w:cs="Times New Roman"/>
        </w:rPr>
        <w:t xml:space="preserve"> järgi</w:t>
      </w:r>
      <w:r w:rsidR="00047770">
        <w:rPr>
          <w:rFonts w:cs="Times New Roman"/>
        </w:rPr>
        <w:t>;</w:t>
      </w:r>
    </w:p>
    <w:p w14:paraId="51610BF7" w14:textId="09368447" w:rsidR="005C5C09" w:rsidRDefault="00F26764" w:rsidP="008E290F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4) </w:t>
      </w:r>
      <w:r w:rsidRPr="00F26764">
        <w:rPr>
          <w:rFonts w:cs="Times New Roman"/>
        </w:rPr>
        <w:t>koostab referentshinna arvutamise metoodika</w:t>
      </w:r>
      <w:r w:rsidR="005C5C09">
        <w:rPr>
          <w:rFonts w:cs="Times New Roman"/>
        </w:rPr>
        <w:t>.</w:t>
      </w:r>
    </w:p>
    <w:p w14:paraId="56E219A0" w14:textId="77777777" w:rsidR="005C5C09" w:rsidRDefault="005C5C09" w:rsidP="008E290F">
      <w:pPr>
        <w:pStyle w:val="BodyText"/>
        <w:spacing w:after="0" w:line="240" w:lineRule="auto"/>
        <w:rPr>
          <w:rFonts w:cs="Times New Roman"/>
        </w:rPr>
      </w:pPr>
    </w:p>
    <w:p w14:paraId="6E5B8363" w14:textId="7F850501" w:rsidR="00AD00A9" w:rsidRPr="00652EF9" w:rsidRDefault="00F26764" w:rsidP="00F26764">
      <w:pPr>
        <w:pStyle w:val="BodyText"/>
        <w:spacing w:after="0" w:line="240" w:lineRule="auto"/>
        <w:rPr>
          <w:rFonts w:cs="Times New Roman"/>
        </w:rPr>
      </w:pPr>
      <w:r w:rsidRPr="00F26764">
        <w:rPr>
          <w:rFonts w:cs="Times New Roman"/>
        </w:rPr>
        <w:t>(</w:t>
      </w:r>
      <w:r w:rsidR="00D15C31">
        <w:rPr>
          <w:rFonts w:cs="Times New Roman"/>
        </w:rPr>
        <w:t>3</w:t>
      </w:r>
      <w:r w:rsidRPr="00F26764">
        <w:rPr>
          <w:rFonts w:cs="Times New Roman"/>
        </w:rPr>
        <w:t xml:space="preserve">) Referentshinna arvutamise metoodika </w:t>
      </w:r>
      <w:r w:rsidR="003846EE">
        <w:rPr>
          <w:rFonts w:cs="Times New Roman"/>
        </w:rPr>
        <w:t xml:space="preserve"> </w:t>
      </w:r>
      <w:r w:rsidRPr="00F26764">
        <w:rPr>
          <w:rFonts w:cs="Times New Roman"/>
        </w:rPr>
        <w:t xml:space="preserve">võtab arvesse agregeerimise </w:t>
      </w:r>
      <w:r w:rsidR="00D52DB2">
        <w:rPr>
          <w:rFonts w:cs="Times New Roman"/>
        </w:rPr>
        <w:t>kaudu</w:t>
      </w:r>
      <w:r w:rsidRPr="00F26764">
        <w:rPr>
          <w:rFonts w:cs="Times New Roman"/>
        </w:rPr>
        <w:t xml:space="preserve"> elektrihinna </w:t>
      </w:r>
      <w:r w:rsidR="003846EE">
        <w:rPr>
          <w:rFonts w:cs="Times New Roman"/>
        </w:rPr>
        <w:t>vähenemisest</w:t>
      </w:r>
      <w:r w:rsidRPr="00F26764">
        <w:rPr>
          <w:rFonts w:cs="Times New Roman"/>
        </w:rPr>
        <w:t xml:space="preserve"> tekkinud tulu</w:t>
      </w:r>
      <w:r w:rsidR="00C85156">
        <w:rPr>
          <w:rFonts w:cs="Times New Roman"/>
        </w:rPr>
        <w:t xml:space="preserve"> tarbijatele</w:t>
      </w:r>
      <w:r w:rsidR="003846EE">
        <w:rPr>
          <w:rFonts w:cs="Times New Roman"/>
        </w:rPr>
        <w:t>.</w:t>
      </w:r>
    </w:p>
    <w:p w14:paraId="60936B54" w14:textId="4615D684" w:rsidR="00CF5B68" w:rsidRDefault="00CF5B68" w:rsidP="00AA1B31">
      <w:pPr>
        <w:pStyle w:val="Tekst"/>
      </w:pPr>
    </w:p>
    <w:p w14:paraId="68FF3887" w14:textId="77777777" w:rsidR="00000244" w:rsidRDefault="00000244" w:rsidP="00AA1B31">
      <w:pPr>
        <w:pStyle w:val="Tekst"/>
      </w:pPr>
    </w:p>
    <w:p w14:paraId="0447A761" w14:textId="77777777" w:rsidR="00000244" w:rsidRPr="00652EF9" w:rsidRDefault="00000244" w:rsidP="00AA1B31">
      <w:pPr>
        <w:pStyle w:val="Tekst"/>
      </w:pPr>
    </w:p>
    <w:p w14:paraId="32115AEE" w14:textId="10721B0A" w:rsidR="002E33FE" w:rsidRPr="00652EF9" w:rsidRDefault="00A96CFE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§</w:t>
      </w:r>
      <w:r w:rsidR="00186BD2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 </w:t>
      </w:r>
      <w:r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3</w:t>
      </w:r>
      <w:r w:rsidR="00652EF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3</w:t>
      </w:r>
      <w:r w:rsidR="00E861A2">
        <w:rPr>
          <w:rFonts w:eastAsia="Times New Roman" w:cs="Times New Roman"/>
          <w:b/>
          <w:bCs/>
          <w:color w:val="000000"/>
          <w:bdr w:val="none" w:sz="0" w:space="0" w:color="auto" w:frame="1"/>
          <w:vertAlign w:val="superscript"/>
          <w:lang w:eastAsia="et-EE"/>
        </w:rPr>
        <w:t>9</w:t>
      </w:r>
      <w:r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.</w:t>
      </w:r>
      <w:r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86BD2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Bilansip</w:t>
      </w:r>
      <w:r w:rsidR="007371B6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laanide</w:t>
      </w:r>
      <w:r w:rsidR="00186BD2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 vahel energia ülekandmi</w:t>
      </w:r>
      <w:r w:rsidR="005C5C0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ne ja </w:t>
      </w:r>
      <w:r w:rsidR="007C7B5E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arveldamine</w:t>
      </w:r>
    </w:p>
    <w:p w14:paraId="7D608611" w14:textId="77777777" w:rsidR="00D87E69" w:rsidRPr="00652EF9" w:rsidRDefault="00D87E69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B0A1A4F" w14:textId="22504DAE" w:rsidR="00D73C48" w:rsidRDefault="005C5C09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(1)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Kui i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seseis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ev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</w:t>
      </w:r>
      <w:proofErr w:type="spellEnd"/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müüb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 päeva elektriturul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 tarbimise vähendamist,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osutab  </w:t>
      </w:r>
      <w:r w:rsid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>süsteemi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haldur </w:t>
      </w:r>
      <w:proofErr w:type="spellStart"/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bilansiplaanidevahelis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proofErr w:type="spellEnd"/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energia ülekan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de teenust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müügiga seotud kauplemisperioodil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ostab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samal kauplemisperioodil 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elektrimüüja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bilansihaldurilt tarne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elektribörsi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Eesti hinnapiirkonna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 päeva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elektrihinnaga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ning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kannab selle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iseseiva agregaatori 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bilansihalduri bilansiplaani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</w:p>
    <w:p w14:paraId="394F8EDC" w14:textId="77777777" w:rsidR="00982D53" w:rsidRDefault="00982D53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69A0491" w14:textId="689D3C8D" w:rsidR="00982D53" w:rsidRDefault="00982D53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(2) Kui referentshind on madalam või võrdne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elektribörsi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elektrihin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naga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kauplemisperioodil, mil isesei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sev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</w:t>
      </w:r>
      <w:proofErr w:type="spellEnd"/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elektriturule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tarbimise vähendamist müüs, kannavad süsteemihalduri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käesoleva paragrahvi lõike 1 kohaselt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soetatud tarne kulu k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õi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k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bilansihaldur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id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lähtudes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elektrienergia tarbimise suuruse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st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nende bilansiplaanis.</w:t>
      </w:r>
    </w:p>
    <w:p w14:paraId="4A9019E7" w14:textId="77777777" w:rsidR="00982D53" w:rsidRDefault="00982D53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4534FF3" w14:textId="7543BAF1" w:rsidR="005746CD" w:rsidRDefault="00982D53" w:rsidP="005746CD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(3)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Kui referentshind on 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>kõrgem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elektribörsi 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>st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kauplemisperioodil, mil iseseisev </w:t>
      </w:r>
      <w:proofErr w:type="spellStart"/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</w:t>
      </w:r>
      <w:proofErr w:type="spellEnd"/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elektriturule tarbimise vähendamist müüs, kanna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b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süsteemihalduri käesoleva paragrahvi lõike 1 kohaselt soetatud tarne kulu iseseisev </w:t>
      </w:r>
      <w:proofErr w:type="spellStart"/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</w:t>
      </w:r>
      <w:proofErr w:type="spellEnd"/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>, kelle tarbimiskaja tõttu bilansihaldur tarne soetas.</w:t>
      </w:r>
    </w:p>
    <w:p w14:paraId="24791DE3" w14:textId="77777777" w:rsidR="00F976D9" w:rsidRDefault="00F976D9" w:rsidP="00982D53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1F9CB822" w14:textId="7328EDB9" w:rsidR="00F976D9" w:rsidRDefault="00F976D9" w:rsidP="00982D53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(4) 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gregaatori osalemisel päevasisesel elektriturul</w:t>
      </w:r>
      <w:r w:rsidR="00F755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osutab </w:t>
      </w:r>
      <w:r w:rsidR="00F755FD">
        <w:rPr>
          <w:rFonts w:eastAsia="Times New Roman" w:cs="Times New Roman"/>
          <w:color w:val="000000"/>
          <w:bdr w:val="none" w:sz="0" w:space="0" w:color="auto" w:frame="1"/>
          <w:lang w:eastAsia="et-EE"/>
        </w:rPr>
        <w:t>süsteemihaldur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:</w:t>
      </w:r>
    </w:p>
    <w:p w14:paraId="02E28BE4" w14:textId="69850747" w:rsidR="00F976D9" w:rsidRDefault="00F976D9" w:rsidP="00982D53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1) t</w:t>
      </w:r>
      <w:r w:rsidRP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arbimise vähendamisel </w:t>
      </w:r>
      <w:proofErr w:type="spellStart"/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bilansiplaanidevahelist</w:t>
      </w:r>
      <w:proofErr w:type="spellEnd"/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energia ülekan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de teenust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müügiga seotud kauplemisperioodil ja ostab samal kauplemisperioodil elektrimüüja bilansihaldurilt tarne </w:t>
      </w:r>
      <w:r w:rsidR="00FD147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FD147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elektrihinnaga</w:t>
      </w:r>
      <w:r w:rsidR="00A83C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ning müüb selle agregaatori bilansihaldurile</w:t>
      </w:r>
      <w:r w:rsidR="00CB699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sama hinnaga</w:t>
      </w:r>
      <w:r w:rsidR="00970039">
        <w:rPr>
          <w:rFonts w:eastAsia="Times New Roman" w:cs="Times New Roman"/>
          <w:color w:val="000000"/>
          <w:bdr w:val="none" w:sz="0" w:space="0" w:color="auto" w:frame="1"/>
          <w:lang w:eastAsia="et-EE"/>
        </w:rPr>
        <w:t>;</w:t>
      </w:r>
    </w:p>
    <w:p w14:paraId="6A4E744D" w14:textId="377D4B07" w:rsidR="00F976D9" w:rsidRDefault="00F976D9" w:rsidP="00982D53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2)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 w:rsidR="00B2585C" w:rsidRP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arbimise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suurendamisel</w:t>
      </w:r>
      <w:r w:rsidR="00B2585C" w:rsidRP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proofErr w:type="spellStart"/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bilansiplaanidevahelist</w:t>
      </w:r>
      <w:proofErr w:type="spellEnd"/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energia ülekan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de teenust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müügiga seotud kauplemisperioodil ja ostab samal kauplemisperioodil agregaatori bilansihaldurilt tarne</w:t>
      </w:r>
      <w:r w:rsidR="00F755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FD147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FD147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elektrihinnaga</w:t>
      </w:r>
      <w:r w:rsidR="00A83C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ning müüb selle elektrimüüja bilansihaldurile </w:t>
      </w:r>
      <w:r w:rsidR="00CB699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sama hinnaga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</w:p>
    <w:p w14:paraId="51F15B9B" w14:textId="77777777" w:rsidR="00970039" w:rsidRDefault="00970039" w:rsidP="00982D53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5B5AECE" w14:textId="2328DB56" w:rsidR="00970039" w:rsidRDefault="00970039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(5) 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gregaatori osalemisel bilansienergia turul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:</w:t>
      </w:r>
    </w:p>
    <w:p w14:paraId="56001CD4" w14:textId="76DD0C75" w:rsidR="00970039" w:rsidRDefault="00970039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1) </w:t>
      </w:r>
      <w:r w:rsidR="00CF4EC3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ostab süsteemihaldur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tarbimise vähendamisel elektrimüüja 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bilansihaldurilt tarne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tarbimiskaja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koguse mahus 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0939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ga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ja tasub </w:t>
      </w:r>
      <w:proofErr w:type="spellStart"/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agregaatorile</w:t>
      </w:r>
      <w:proofErr w:type="spellEnd"/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kauplemisperioodil ostetud tarbimiskaja eest sama kauplemisperioodi bilansienergia hinna ja 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0939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DF13B5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vahe;</w:t>
      </w:r>
    </w:p>
    <w:p w14:paraId="5D5EE4EE" w14:textId="53C37664" w:rsidR="00970039" w:rsidRDefault="00970039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2)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müüb</w:t>
      </w:r>
      <w:r w:rsidR="00CF4EC3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süsteemihaldur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tarbimise suurendamisel elektrimüüja 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bilansihalduril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e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tarne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tarbimiskaja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koguse mahus 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järgmise päeva </w:t>
      </w:r>
      <w:r w:rsidR="0009391D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0939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ga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ja tasub </w:t>
      </w:r>
      <w:proofErr w:type="spellStart"/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agregaatorile</w:t>
      </w:r>
      <w:proofErr w:type="spellEnd"/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kauplemisperioodil ostetud tarbimiskaja eest sama kauplemisperioodi bilansienergia hinna ja </w:t>
      </w:r>
      <w:r w:rsidR="008C0358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8C0358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8C0358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vahe.</w:t>
      </w:r>
    </w:p>
    <w:p w14:paraId="2916AD5C" w14:textId="77777777" w:rsidR="00360000" w:rsidRDefault="00360000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B8E273B" w14:textId="51452F18" w:rsidR="00360000" w:rsidRDefault="00360000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Agregaatori elektrituruseaduse § 21</w:t>
      </w:r>
      <w:r w:rsidR="00F17F06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lõikes 6 nimetatud hankes osalemisel 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osutab</w:t>
      </w:r>
      <w:r w:rsidR="00CF4EC3"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süsteemihaldur </w:t>
      </w:r>
      <w:proofErr w:type="spellStart"/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bilansiplaanidevahelist</w:t>
      </w:r>
      <w:proofErr w:type="spellEnd"/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energia ülekan</w:t>
      </w:r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de </w:t>
      </w:r>
      <w:proofErr w:type="spellStart"/>
      <w:r w:rsidR="00CF4EC3">
        <w:rPr>
          <w:rFonts w:eastAsia="Times New Roman" w:cs="Times New Roman"/>
          <w:color w:val="000000"/>
          <w:bdr w:val="none" w:sz="0" w:space="0" w:color="auto" w:frame="1"/>
          <w:lang w:eastAsia="et-EE"/>
        </w:rPr>
        <w:t>teenust</w:t>
      </w:r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proofErr w:type="spellEnd"/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tarbimise vähendamisega</w:t>
      </w:r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seotud kauplemisperioodil ja ostab samal kauplemisperioodil elektrimüüja bilansihaldurilt tarne </w:t>
      </w:r>
      <w:r w:rsidR="00157BB3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F83877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157BB3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57BB3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F83877">
        <w:rPr>
          <w:rFonts w:eastAsia="Times New Roman" w:cs="Times New Roman"/>
          <w:color w:val="000000"/>
          <w:bdr w:val="none" w:sz="0" w:space="0" w:color="auto" w:frame="1"/>
          <w:lang w:eastAsia="et-EE"/>
        </w:rPr>
        <w:t>ga</w:t>
      </w:r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ning kannab selle agregaatori bilansihalduri bilansiplaani.</w:t>
      </w:r>
    </w:p>
    <w:p w14:paraId="1F5F85AA" w14:textId="77777777" w:rsidR="00360000" w:rsidRDefault="00360000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07031C41" w14:textId="6DDDFFE7" w:rsidR="00360000" w:rsidRPr="00B2585C" w:rsidRDefault="00360000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 w:rsidR="001210BA">
        <w:rPr>
          <w:rFonts w:eastAsia="Times New Roman" w:cs="Times New Roman"/>
          <w:color w:val="000000"/>
          <w:bdr w:val="none" w:sz="0" w:space="0" w:color="auto" w:frame="1"/>
          <w:lang w:eastAsia="et-EE"/>
        </w:rPr>
        <w:t>7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Käesoleva paragrahvi lõike </w:t>
      </w:r>
      <w:r w:rsidR="001210BA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kohase tarne soetamise kulud kannab võrguettevõtja, kes </w:t>
      </w:r>
      <w:r w:rsidR="005E5B28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tarbimiskaja hankis.</w:t>
      </w:r>
      <w:r w:rsidR="00DB1150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p w14:paraId="4C60E49B" w14:textId="77777777" w:rsidR="00652EF9" w:rsidRDefault="00652EF9" w:rsidP="004C54BB">
      <w:pPr>
        <w:pStyle w:val="BodyText"/>
        <w:spacing w:after="0" w:line="240" w:lineRule="auto"/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</w:pPr>
    </w:p>
    <w:p w14:paraId="3E8D8AC7" w14:textId="77777777" w:rsidR="008B5C71" w:rsidRDefault="008B5C71" w:rsidP="004C54BB">
      <w:pPr>
        <w:pStyle w:val="BodyText"/>
        <w:spacing w:after="0" w:line="240" w:lineRule="auto"/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</w:pPr>
    </w:p>
    <w:p w14:paraId="348413DD" w14:textId="77777777" w:rsidR="008B5C71" w:rsidRDefault="008B5C71" w:rsidP="004C54BB">
      <w:pPr>
        <w:pStyle w:val="BodyText"/>
        <w:spacing w:after="0" w:line="240" w:lineRule="auto"/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</w:pPr>
    </w:p>
    <w:p w14:paraId="35B97E0B" w14:textId="77777777" w:rsidR="008B5C71" w:rsidRDefault="008B5C71" w:rsidP="004C54BB">
      <w:pPr>
        <w:pStyle w:val="BodyText"/>
        <w:spacing w:after="0" w:line="240" w:lineRule="auto"/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</w:pPr>
    </w:p>
    <w:p w14:paraId="28CEF07E" w14:textId="4FC0C324" w:rsidR="004C54BB" w:rsidRPr="003846EE" w:rsidRDefault="00695A16" w:rsidP="003846EE">
      <w:pPr>
        <w:pStyle w:val="BodyText"/>
        <w:rPr>
          <w:b/>
          <w:bCs/>
          <w:color w:val="000000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lastRenderedPageBreak/>
        <w:t>4</w:t>
      </w:r>
      <w:r w:rsidR="004C54BB" w:rsidRPr="00652EF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määruse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5. peatükki </w:t>
      </w:r>
      <w:r w:rsidR="004C54BB" w:rsidRP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täiendatakse </w:t>
      </w:r>
      <w:r w:rsidR="00A90D5B" w:rsidRPr="003846EE">
        <w:rPr>
          <w:color w:val="000000"/>
          <w:bdr w:val="none" w:sz="0" w:space="0" w:color="auto" w:frame="1"/>
        </w:rPr>
        <w:t>§-ga 33</w:t>
      </w:r>
      <w:r w:rsidR="00A90D5B">
        <w:rPr>
          <w:color w:val="000000"/>
          <w:bdr w:val="none" w:sz="0" w:space="0" w:color="auto" w:frame="1"/>
          <w:vertAlign w:val="superscript"/>
        </w:rPr>
        <w:t>8</w:t>
      </w:r>
      <w:r w:rsidR="00A90D5B">
        <w:rPr>
          <w:b/>
          <w:bCs/>
          <w:color w:val="000000"/>
          <w:bdr w:val="none" w:sz="0" w:space="0" w:color="auto" w:frame="1"/>
        </w:rPr>
        <w:t xml:space="preserve"> 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järgmises sõnastuses:</w:t>
      </w:r>
    </w:p>
    <w:p w14:paraId="7C7D3A3A" w14:textId="7D13E28F" w:rsidR="00A90D5B" w:rsidRDefault="004C54BB" w:rsidP="004C54BB">
      <w:pPr>
        <w:pStyle w:val="BodyText"/>
        <w:spacing w:after="0" w:line="240" w:lineRule="auto"/>
        <w:rPr>
          <w:b/>
          <w:bCs/>
          <w:color w:val="000000"/>
          <w:bdr w:val="none" w:sz="0" w:space="0" w:color="auto" w:frame="1"/>
        </w:rPr>
      </w:pPr>
      <w:r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</w:t>
      </w:r>
      <w:r w:rsidR="00A90D5B" w:rsidRPr="003846EE">
        <w:rPr>
          <w:b/>
          <w:bCs/>
          <w:color w:val="000000"/>
          <w:bdr w:val="none" w:sz="0" w:space="0" w:color="auto" w:frame="1"/>
        </w:rPr>
        <w:t>§ 33</w:t>
      </w:r>
      <w:r w:rsidR="00A90D5B">
        <w:rPr>
          <w:b/>
          <w:bCs/>
          <w:color w:val="000000"/>
          <w:bdr w:val="none" w:sz="0" w:space="0" w:color="auto" w:frame="1"/>
          <w:vertAlign w:val="superscript"/>
        </w:rPr>
        <w:t>8</w:t>
      </w:r>
      <w:r w:rsidR="00A90D5B" w:rsidRPr="00A90D5B">
        <w:rPr>
          <w:b/>
          <w:bCs/>
          <w:color w:val="000000"/>
          <w:bdr w:val="none" w:sz="0" w:space="0" w:color="auto" w:frame="1"/>
        </w:rPr>
        <w:t>.</w:t>
      </w:r>
      <w:r w:rsidR="00A90D5B">
        <w:rPr>
          <w:b/>
          <w:bCs/>
          <w:color w:val="000000"/>
          <w:bdr w:val="none" w:sz="0" w:space="0" w:color="auto" w:frame="1"/>
        </w:rPr>
        <w:t xml:space="preserve"> </w:t>
      </w:r>
      <w:r w:rsidR="00EF0D41" w:rsidRPr="00EF0D4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4C5DB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M</w:t>
      </w:r>
      <w:r w:rsidR="00EF0D41" w:rsidRPr="00CB699B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ääruse </w:t>
      </w:r>
      <w:r w:rsidR="00EF0D41" w:rsidRPr="00CB699B">
        <w:rPr>
          <w:b/>
          <w:bCs/>
        </w:rPr>
        <w:t>4</w:t>
      </w:r>
      <w:r w:rsidR="00EF0D41" w:rsidRPr="00CB699B">
        <w:rPr>
          <w:b/>
          <w:bCs/>
          <w:vertAlign w:val="superscript"/>
        </w:rPr>
        <w:t>3</w:t>
      </w:r>
      <w:r w:rsidR="00EF0D41" w:rsidRPr="00CB699B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. peatüki rakendamine</w:t>
      </w:r>
    </w:p>
    <w:p w14:paraId="66777345" w14:textId="47C4E310" w:rsidR="00142003" w:rsidRDefault="00AE7CC9" w:rsidP="0000024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K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äesoleva määruse </w:t>
      </w:r>
      <w:r w:rsidR="00652EF9" w:rsidRPr="00652EF9">
        <w:t>4</w:t>
      </w:r>
      <w:r w:rsidR="00652EF9" w:rsidRPr="00D2797F">
        <w:rPr>
          <w:vertAlign w:val="superscript"/>
        </w:rPr>
        <w:t>3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 peatükk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i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rakendatakse alates</w:t>
      </w:r>
      <w:r w:rsidR="00A90D5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202</w:t>
      </w:r>
      <w:r w:rsidR="00556F33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 aasta 1. jaanuari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st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.“</w:t>
      </w:r>
      <w:r w:rsidR="00652EF9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</w:p>
    <w:p w14:paraId="471E27EE" w14:textId="77777777" w:rsidR="00D00018" w:rsidRDefault="00D00018" w:rsidP="0000024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44EB18B" w14:textId="77777777" w:rsidR="00D00018" w:rsidRDefault="00D00018" w:rsidP="0000024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4572D98" w14:textId="77777777" w:rsidR="00D00018" w:rsidRDefault="00D00018" w:rsidP="0000024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D93E970" w14:textId="77777777" w:rsidR="00D00018" w:rsidRPr="00142003" w:rsidRDefault="00D00018" w:rsidP="0000024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2"/>
      </w:tblGrid>
      <w:tr w:rsidR="00142003" w:rsidRPr="00142003" w14:paraId="63A6A702" w14:textId="77777777" w:rsidTr="00D2797F">
        <w:tc>
          <w:tcPr>
            <w:tcW w:w="4672" w:type="dxa"/>
          </w:tcPr>
          <w:p w14:paraId="0F8E0E9D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(allkirjastatud digitaalselt)</w:t>
            </w:r>
          </w:p>
          <w:p w14:paraId="57D349C4" w14:textId="1D56020F" w:rsidR="00142003" w:rsidRPr="00142003" w:rsidRDefault="00AE7CC9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Yoko Alender</w:t>
            </w:r>
          </w:p>
          <w:p w14:paraId="5FC1CEE6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Kliimaminister</w:t>
            </w:r>
          </w:p>
        </w:tc>
        <w:tc>
          <w:tcPr>
            <w:tcW w:w="4672" w:type="dxa"/>
          </w:tcPr>
          <w:p w14:paraId="292B4092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14:paraId="7B58F3E8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(allkirjastatud digitaalselt)</w:t>
            </w:r>
          </w:p>
          <w:p w14:paraId="1E920771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Keit Kasemets</w:t>
            </w:r>
          </w:p>
          <w:p w14:paraId="63342CC7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Kantsler</w:t>
            </w:r>
          </w:p>
        </w:tc>
      </w:tr>
    </w:tbl>
    <w:p w14:paraId="25ACFF44" w14:textId="1D92C4EE" w:rsidR="004D302A" w:rsidRDefault="004D302A" w:rsidP="00AA32C5">
      <w:pPr>
        <w:rPr>
          <w:bdr w:val="none" w:sz="0" w:space="0" w:color="auto" w:frame="1"/>
          <w:lang w:eastAsia="et-EE"/>
        </w:rPr>
      </w:pPr>
    </w:p>
    <w:p w14:paraId="37348897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257E926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649FEB8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8FE91F6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689E402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87C9F86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C248251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E131A4A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B47E06D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4BFF605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7F66B25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32B4E0F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28A5674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DF9CD9D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357581F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AAFCAB1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F525895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AB3A7DA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E24A127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6F82A0C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C5F7DD4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2333894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A0F6AA9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A1C263D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3BE5D86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6044C93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118DD70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61B0628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208C5F5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31641D4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A154431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C4E233E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D10E59C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F066915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AA9EB8E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711C752" w14:textId="77777777" w:rsidR="008B5C71" w:rsidRDefault="008B5C71" w:rsidP="005B03F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DFAD8B0" w14:textId="3CC6FF95" w:rsidR="005B03F0" w:rsidRPr="005B03F0" w:rsidRDefault="008B5C71" w:rsidP="005B03F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>Kavand 2</w:t>
      </w:r>
    </w:p>
    <w:p w14:paraId="7B57B093" w14:textId="77777777" w:rsidR="005B03F0" w:rsidRPr="005B03F0" w:rsidRDefault="005B03F0" w:rsidP="005B03F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E1DF308" w14:textId="77777777" w:rsidR="005B03F0" w:rsidRPr="005B03F0" w:rsidRDefault="005B03F0" w:rsidP="005B03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VABARIIGI VALITSUS</w:t>
      </w:r>
    </w:p>
    <w:p w14:paraId="0E016F06" w14:textId="77777777" w:rsidR="005B03F0" w:rsidRPr="005B03F0" w:rsidRDefault="005B03F0" w:rsidP="005B03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MÄÄRUS</w:t>
      </w:r>
    </w:p>
    <w:p w14:paraId="680CE90F" w14:textId="77777777" w:rsidR="005B03F0" w:rsidRPr="005B03F0" w:rsidRDefault="005B03F0" w:rsidP="005B03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55C0E9" w14:textId="77777777" w:rsidR="005B03F0" w:rsidRPr="005B03F0" w:rsidRDefault="005B03F0" w:rsidP="005B03F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Vabariigi Valitsuse 14. veebruari 2019. a määruse nr 10 „Elektrisüsteemi toimimise võrgueeskiri“ muutmine</w:t>
      </w:r>
    </w:p>
    <w:p w14:paraId="3ED68A07" w14:textId="77777777" w:rsidR="005B03F0" w:rsidRPr="005B03F0" w:rsidRDefault="005B03F0" w:rsidP="005B03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7A1126" w14:textId="77777777" w:rsidR="005B03F0" w:rsidRPr="005B03F0" w:rsidRDefault="005B03F0" w:rsidP="005B03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Määrus kehtestatakse elektrituruseaduse § 42 lõike 3 ja 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§ 42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 xml:space="preserve">6 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lõike 4 alusel.</w:t>
      </w:r>
    </w:p>
    <w:p w14:paraId="30F0BA25" w14:textId="77777777" w:rsidR="005B03F0" w:rsidRPr="005B03F0" w:rsidRDefault="005B03F0" w:rsidP="005B03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21E107" w14:textId="77777777" w:rsidR="005B03F0" w:rsidRPr="005B03F0" w:rsidRDefault="005B03F0" w:rsidP="005B03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§ 1.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Vabariigi Valitsuse 14. veebruari 2019. a määruses nr 10 „Elektrisüsteemi toimimise võrgueeskiri“ tehakse järgmised muudatused:</w:t>
      </w:r>
    </w:p>
    <w:p w14:paraId="14C29D3E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t-EE"/>
          <w14:ligatures w14:val="none"/>
        </w:rPr>
      </w:pPr>
    </w:p>
    <w:p w14:paraId="091702E2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 xml:space="preserve">1) 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määruse 2. peatükki täiendatakse 5. jaoga järgmises sõnastuses:</w:t>
      </w:r>
    </w:p>
    <w:p w14:paraId="52D643C9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0F34BE4" w14:textId="77777777" w:rsidR="005B03F0" w:rsidRPr="005B03F0" w:rsidRDefault="005B03F0" w:rsidP="005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5. jagu </w:t>
      </w:r>
    </w:p>
    <w:p w14:paraId="10B32374" w14:textId="77777777" w:rsidR="005B03F0" w:rsidRPr="005B03F0" w:rsidRDefault="005B03F0" w:rsidP="005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Elektrisüsteemi saartalitlusvõime töö tagamine</w:t>
      </w:r>
    </w:p>
    <w:p w14:paraId="4363C068" w14:textId="77777777" w:rsidR="005B03F0" w:rsidRPr="005B03F0" w:rsidRDefault="005B03F0" w:rsidP="005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64D91BA6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§15</w:t>
      </w: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. Elektrisüsteemi saartalitusvõime tagamine</w:t>
      </w:r>
    </w:p>
    <w:p w14:paraId="7806AAEF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(1) Saartalitlusvõime tagamise  teenust osutavatel elektritootjatel on õigus elektrituruseaduse § 42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5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 4 alusel sätestatud nõudeid rikkumata toota ja müüa toodetud elektrienergiat vastavalt elektrituru reeglitele.</w:t>
      </w:r>
    </w:p>
    <w:p w14:paraId="32D887CA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(2) Süsteemihalduril on vajadusel õigus esitada tellimusi elektritootmisseadmete kättesaadavuse teenust osutavatele tootjatele tagamaks valmisolek elektrienergiasüsteemi isoleeritud tööks ja vajalikus koguses elektrienergia tootmiseks kuni 10 kalendripäeva aastas.</w:t>
      </w:r>
    </w:p>
    <w:p w14:paraId="37DE18B0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(3) Süsteemihaldur täpsustab käesoleva paragrahvi lõikes 2 nimetatud valmisoleku tagamisega seotud tingimused elektrituruseaduse § 42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5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 5 punktis 1 nimetatud teenuse tehnilises kirjelduses.</w:t>
      </w:r>
    </w:p>
    <w:p w14:paraId="5E65FCA4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(4) Saartalitlusvõime tagamise teenuse lubatud kaalutud keskmise kapitali hinna määr on perioodil …. järgmine:</w:t>
      </w:r>
    </w:p>
    <w:p w14:paraId="0999FE37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1) taastuvenergia tehnoloogiate puhul …%;</w:t>
      </w:r>
    </w:p>
    <w:p w14:paraId="73BA4743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2) muude tehnoloogiate puhul …% .”.</w:t>
      </w:r>
    </w:p>
    <w:p w14:paraId="4C4CD9E3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B4FBFBE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B0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§ 2. </w:t>
      </w:r>
      <w:r w:rsidRPr="005B03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Käesolev määrus jõustub 2025. aasta …. .</w:t>
      </w:r>
    </w:p>
    <w:p w14:paraId="7D7BB389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DA394F8" w14:textId="77777777" w:rsidR="005B03F0" w:rsidRPr="005B03F0" w:rsidRDefault="005B03F0" w:rsidP="005B03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56D93E2" w14:textId="77777777" w:rsidR="005B03F0" w:rsidRPr="00652EF9" w:rsidRDefault="005B03F0" w:rsidP="00AA32C5">
      <w:pPr>
        <w:rPr>
          <w:bdr w:val="none" w:sz="0" w:space="0" w:color="auto" w:frame="1"/>
          <w:lang w:eastAsia="et-EE"/>
        </w:rPr>
      </w:pPr>
    </w:p>
    <w:sectPr w:rsidR="005B03F0" w:rsidRPr="00652EF9" w:rsidSect="0000024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C395B" w14:textId="77777777" w:rsidR="004A4423" w:rsidRDefault="004A4423" w:rsidP="00B85E1F">
      <w:pPr>
        <w:spacing w:after="0" w:line="240" w:lineRule="auto"/>
      </w:pPr>
      <w:r>
        <w:separator/>
      </w:r>
    </w:p>
  </w:endnote>
  <w:endnote w:type="continuationSeparator" w:id="0">
    <w:p w14:paraId="1B397AB3" w14:textId="77777777" w:rsidR="004A4423" w:rsidRDefault="004A4423" w:rsidP="00B85E1F">
      <w:pPr>
        <w:spacing w:after="0" w:line="240" w:lineRule="auto"/>
      </w:pPr>
      <w:r>
        <w:continuationSeparator/>
      </w:r>
    </w:p>
  </w:endnote>
  <w:endnote w:type="continuationNotice" w:id="1">
    <w:p w14:paraId="2D308BEA" w14:textId="77777777" w:rsidR="004A4423" w:rsidRDefault="004A44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4077783"/>
      <w:docPartObj>
        <w:docPartGallery w:val="Page Numbers (Bottom of Page)"/>
        <w:docPartUnique/>
      </w:docPartObj>
    </w:sdtPr>
    <w:sdtContent>
      <w:p w14:paraId="2734FD0E" w14:textId="6E479B13" w:rsidR="008B5C71" w:rsidRDefault="008B5C7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BC643" w14:textId="77777777" w:rsidR="008B5C71" w:rsidRDefault="008B5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48B73" w14:textId="77777777" w:rsidR="004A4423" w:rsidRDefault="004A4423" w:rsidP="00B85E1F">
      <w:pPr>
        <w:spacing w:after="0" w:line="240" w:lineRule="auto"/>
      </w:pPr>
      <w:r>
        <w:separator/>
      </w:r>
    </w:p>
  </w:footnote>
  <w:footnote w:type="continuationSeparator" w:id="0">
    <w:p w14:paraId="63B96F9D" w14:textId="77777777" w:rsidR="004A4423" w:rsidRDefault="004A4423" w:rsidP="00B85E1F">
      <w:pPr>
        <w:spacing w:after="0" w:line="240" w:lineRule="auto"/>
      </w:pPr>
      <w:r>
        <w:continuationSeparator/>
      </w:r>
    </w:p>
  </w:footnote>
  <w:footnote w:type="continuationNotice" w:id="1">
    <w:p w14:paraId="64892F04" w14:textId="77777777" w:rsidR="004A4423" w:rsidRDefault="004A44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009A4"/>
    <w:multiLevelType w:val="hybridMultilevel"/>
    <w:tmpl w:val="5C8E29D2"/>
    <w:lvl w:ilvl="0" w:tplc="AC8021F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063BD"/>
    <w:multiLevelType w:val="hybridMultilevel"/>
    <w:tmpl w:val="186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E300C"/>
    <w:multiLevelType w:val="hybridMultilevel"/>
    <w:tmpl w:val="60A64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02020">
    <w:abstractNumId w:val="0"/>
  </w:num>
  <w:num w:numId="2" w16cid:durableId="376781930">
    <w:abstractNumId w:val="2"/>
  </w:num>
  <w:num w:numId="3" w16cid:durableId="21470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97"/>
    <w:rsid w:val="00000244"/>
    <w:rsid w:val="00004D01"/>
    <w:rsid w:val="00011DC0"/>
    <w:rsid w:val="000216CE"/>
    <w:rsid w:val="00047770"/>
    <w:rsid w:val="0006031E"/>
    <w:rsid w:val="00060860"/>
    <w:rsid w:val="00062C4E"/>
    <w:rsid w:val="00072742"/>
    <w:rsid w:val="00086255"/>
    <w:rsid w:val="0009391D"/>
    <w:rsid w:val="000A60DA"/>
    <w:rsid w:val="000B4EF2"/>
    <w:rsid w:val="000B63A8"/>
    <w:rsid w:val="000B6812"/>
    <w:rsid w:val="000B6F8D"/>
    <w:rsid w:val="000D6983"/>
    <w:rsid w:val="000D7FD6"/>
    <w:rsid w:val="000E1DEB"/>
    <w:rsid w:val="000F06E7"/>
    <w:rsid w:val="0011142B"/>
    <w:rsid w:val="001210BA"/>
    <w:rsid w:val="00125F28"/>
    <w:rsid w:val="00142003"/>
    <w:rsid w:val="001432C1"/>
    <w:rsid w:val="00146D4D"/>
    <w:rsid w:val="00157BB3"/>
    <w:rsid w:val="00162B9D"/>
    <w:rsid w:val="001645D7"/>
    <w:rsid w:val="0016713E"/>
    <w:rsid w:val="00182201"/>
    <w:rsid w:val="0018418D"/>
    <w:rsid w:val="00186BD2"/>
    <w:rsid w:val="001B51C0"/>
    <w:rsid w:val="001B593B"/>
    <w:rsid w:val="001C75D4"/>
    <w:rsid w:val="001E3688"/>
    <w:rsid w:val="001E5660"/>
    <w:rsid w:val="001F2D72"/>
    <w:rsid w:val="00202852"/>
    <w:rsid w:val="00213F58"/>
    <w:rsid w:val="00224C2A"/>
    <w:rsid w:val="00226DCF"/>
    <w:rsid w:val="002646DB"/>
    <w:rsid w:val="00265AE7"/>
    <w:rsid w:val="002E33FE"/>
    <w:rsid w:val="002E576F"/>
    <w:rsid w:val="002F2E9B"/>
    <w:rsid w:val="002F42F0"/>
    <w:rsid w:val="00331F38"/>
    <w:rsid w:val="0034039E"/>
    <w:rsid w:val="00357422"/>
    <w:rsid w:val="00360000"/>
    <w:rsid w:val="00360AB4"/>
    <w:rsid w:val="00372B13"/>
    <w:rsid w:val="003846EE"/>
    <w:rsid w:val="00390232"/>
    <w:rsid w:val="003B0C47"/>
    <w:rsid w:val="003C3C43"/>
    <w:rsid w:val="003D5AC3"/>
    <w:rsid w:val="00440860"/>
    <w:rsid w:val="00446660"/>
    <w:rsid w:val="00452FFA"/>
    <w:rsid w:val="00454424"/>
    <w:rsid w:val="0046055C"/>
    <w:rsid w:val="004760D4"/>
    <w:rsid w:val="00476DD2"/>
    <w:rsid w:val="004A4423"/>
    <w:rsid w:val="004C0EC5"/>
    <w:rsid w:val="004C54BB"/>
    <w:rsid w:val="004C5973"/>
    <w:rsid w:val="004C5DB9"/>
    <w:rsid w:val="004D302A"/>
    <w:rsid w:val="004E04DF"/>
    <w:rsid w:val="004E456A"/>
    <w:rsid w:val="004F73A4"/>
    <w:rsid w:val="0055000B"/>
    <w:rsid w:val="00556F33"/>
    <w:rsid w:val="005601B3"/>
    <w:rsid w:val="005746CD"/>
    <w:rsid w:val="00593EED"/>
    <w:rsid w:val="005A6092"/>
    <w:rsid w:val="005B03F0"/>
    <w:rsid w:val="005B363A"/>
    <w:rsid w:val="005C2A33"/>
    <w:rsid w:val="005C5C09"/>
    <w:rsid w:val="005C76F6"/>
    <w:rsid w:val="005D47E4"/>
    <w:rsid w:val="005D4B97"/>
    <w:rsid w:val="005E5B28"/>
    <w:rsid w:val="005E6489"/>
    <w:rsid w:val="00634FAF"/>
    <w:rsid w:val="00652EF9"/>
    <w:rsid w:val="00695A16"/>
    <w:rsid w:val="006A1E7B"/>
    <w:rsid w:val="006A64C1"/>
    <w:rsid w:val="006B39B7"/>
    <w:rsid w:val="006B5F0F"/>
    <w:rsid w:val="006C28BB"/>
    <w:rsid w:val="006C511D"/>
    <w:rsid w:val="006D08CE"/>
    <w:rsid w:val="006F0EAF"/>
    <w:rsid w:val="006F3F4A"/>
    <w:rsid w:val="0071057F"/>
    <w:rsid w:val="007137DB"/>
    <w:rsid w:val="00715F43"/>
    <w:rsid w:val="007165B8"/>
    <w:rsid w:val="0072421E"/>
    <w:rsid w:val="007353EF"/>
    <w:rsid w:val="007371B6"/>
    <w:rsid w:val="00740DED"/>
    <w:rsid w:val="00744EC8"/>
    <w:rsid w:val="007508F8"/>
    <w:rsid w:val="007B1B68"/>
    <w:rsid w:val="007B60BF"/>
    <w:rsid w:val="007C7B5E"/>
    <w:rsid w:val="008050F6"/>
    <w:rsid w:val="00812A08"/>
    <w:rsid w:val="00820AC7"/>
    <w:rsid w:val="008432F8"/>
    <w:rsid w:val="00844A1D"/>
    <w:rsid w:val="008509D2"/>
    <w:rsid w:val="00853EE7"/>
    <w:rsid w:val="00885C8A"/>
    <w:rsid w:val="008864ED"/>
    <w:rsid w:val="00895C66"/>
    <w:rsid w:val="008A4557"/>
    <w:rsid w:val="008B04A5"/>
    <w:rsid w:val="008B182E"/>
    <w:rsid w:val="008B5C71"/>
    <w:rsid w:val="008C0358"/>
    <w:rsid w:val="008C69DE"/>
    <w:rsid w:val="008E290F"/>
    <w:rsid w:val="008F091F"/>
    <w:rsid w:val="00915786"/>
    <w:rsid w:val="00936CCB"/>
    <w:rsid w:val="00944FC5"/>
    <w:rsid w:val="00963216"/>
    <w:rsid w:val="00970039"/>
    <w:rsid w:val="00976B32"/>
    <w:rsid w:val="00977466"/>
    <w:rsid w:val="00982D53"/>
    <w:rsid w:val="009D3C90"/>
    <w:rsid w:val="009E3F15"/>
    <w:rsid w:val="00A17499"/>
    <w:rsid w:val="00A31A60"/>
    <w:rsid w:val="00A50822"/>
    <w:rsid w:val="00A515BC"/>
    <w:rsid w:val="00A54634"/>
    <w:rsid w:val="00A67B89"/>
    <w:rsid w:val="00A83CFD"/>
    <w:rsid w:val="00A85D2F"/>
    <w:rsid w:val="00A90D5B"/>
    <w:rsid w:val="00A96CFE"/>
    <w:rsid w:val="00AA1B31"/>
    <w:rsid w:val="00AA32C5"/>
    <w:rsid w:val="00AA66F3"/>
    <w:rsid w:val="00AB0A0F"/>
    <w:rsid w:val="00AB3BE2"/>
    <w:rsid w:val="00AC0AAB"/>
    <w:rsid w:val="00AD00A9"/>
    <w:rsid w:val="00AD6749"/>
    <w:rsid w:val="00AE4B68"/>
    <w:rsid w:val="00AE7CC9"/>
    <w:rsid w:val="00AF37F7"/>
    <w:rsid w:val="00B05915"/>
    <w:rsid w:val="00B12B98"/>
    <w:rsid w:val="00B23E2E"/>
    <w:rsid w:val="00B2585C"/>
    <w:rsid w:val="00B3651A"/>
    <w:rsid w:val="00B370E6"/>
    <w:rsid w:val="00B435FF"/>
    <w:rsid w:val="00B43E45"/>
    <w:rsid w:val="00B44FCC"/>
    <w:rsid w:val="00B53D82"/>
    <w:rsid w:val="00B62296"/>
    <w:rsid w:val="00B737DC"/>
    <w:rsid w:val="00B75856"/>
    <w:rsid w:val="00B85E1F"/>
    <w:rsid w:val="00B90C16"/>
    <w:rsid w:val="00BD6FF3"/>
    <w:rsid w:val="00BE2C1C"/>
    <w:rsid w:val="00BF79A7"/>
    <w:rsid w:val="00C0048D"/>
    <w:rsid w:val="00C036D3"/>
    <w:rsid w:val="00C03BD8"/>
    <w:rsid w:val="00C0468F"/>
    <w:rsid w:val="00C05FDB"/>
    <w:rsid w:val="00C24F26"/>
    <w:rsid w:val="00C52FEB"/>
    <w:rsid w:val="00C5711A"/>
    <w:rsid w:val="00C64DC6"/>
    <w:rsid w:val="00C65B31"/>
    <w:rsid w:val="00C77EF1"/>
    <w:rsid w:val="00C85156"/>
    <w:rsid w:val="00C90FA4"/>
    <w:rsid w:val="00C933B4"/>
    <w:rsid w:val="00CA428A"/>
    <w:rsid w:val="00CB699B"/>
    <w:rsid w:val="00CF4EC3"/>
    <w:rsid w:val="00CF5B68"/>
    <w:rsid w:val="00D00018"/>
    <w:rsid w:val="00D02C6B"/>
    <w:rsid w:val="00D15C31"/>
    <w:rsid w:val="00D32AD2"/>
    <w:rsid w:val="00D52DB2"/>
    <w:rsid w:val="00D734B2"/>
    <w:rsid w:val="00D73C48"/>
    <w:rsid w:val="00D767EC"/>
    <w:rsid w:val="00D80E17"/>
    <w:rsid w:val="00D87E69"/>
    <w:rsid w:val="00D97AE4"/>
    <w:rsid w:val="00DB1150"/>
    <w:rsid w:val="00DC1C18"/>
    <w:rsid w:val="00DD1C65"/>
    <w:rsid w:val="00DF13B5"/>
    <w:rsid w:val="00E20B41"/>
    <w:rsid w:val="00E23C1C"/>
    <w:rsid w:val="00E26CA5"/>
    <w:rsid w:val="00E3643F"/>
    <w:rsid w:val="00E44C25"/>
    <w:rsid w:val="00E45FEA"/>
    <w:rsid w:val="00E51BC6"/>
    <w:rsid w:val="00E573AE"/>
    <w:rsid w:val="00E63DAF"/>
    <w:rsid w:val="00E84D10"/>
    <w:rsid w:val="00E861A2"/>
    <w:rsid w:val="00EA6A7A"/>
    <w:rsid w:val="00EB243E"/>
    <w:rsid w:val="00EB7C44"/>
    <w:rsid w:val="00EC5DD0"/>
    <w:rsid w:val="00ED3B44"/>
    <w:rsid w:val="00EE6156"/>
    <w:rsid w:val="00EF0D41"/>
    <w:rsid w:val="00EF4EB6"/>
    <w:rsid w:val="00F06CFA"/>
    <w:rsid w:val="00F17F06"/>
    <w:rsid w:val="00F17F59"/>
    <w:rsid w:val="00F26764"/>
    <w:rsid w:val="00F6209E"/>
    <w:rsid w:val="00F755FD"/>
    <w:rsid w:val="00F83877"/>
    <w:rsid w:val="00F87280"/>
    <w:rsid w:val="00F976D9"/>
    <w:rsid w:val="00FA1066"/>
    <w:rsid w:val="00FA2E0F"/>
    <w:rsid w:val="00FB366D"/>
    <w:rsid w:val="00FD1474"/>
    <w:rsid w:val="00FE343A"/>
    <w:rsid w:val="00FE47CC"/>
    <w:rsid w:val="5A8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33BF"/>
  <w15:chartTrackingRefBased/>
  <w15:docId w15:val="{E5AE835F-4FB9-4C70-9FAA-086141B6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4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5D4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B97"/>
    <w:rPr>
      <w:color w:val="605E5C"/>
      <w:shd w:val="clear" w:color="auto" w:fill="E1DFDD"/>
    </w:rPr>
  </w:style>
  <w:style w:type="paragraph" w:customStyle="1" w:styleId="Tekst">
    <w:name w:val="Tekst"/>
    <w:autoRedefine/>
    <w:qFormat/>
    <w:rsid w:val="00AA1B31"/>
    <w:pPr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D4B97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Strong">
    <w:name w:val="Strong"/>
    <w:basedOn w:val="DefaultParagraphFont"/>
    <w:uiPriority w:val="22"/>
    <w:qFormat/>
    <w:rsid w:val="005D4B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qFormat/>
    <w:rsid w:val="00AC0AAB"/>
    <w:pPr>
      <w:widowControl w:val="0"/>
      <w:jc w:val="both"/>
    </w:pPr>
    <w:rPr>
      <w:rFonts w:ascii="Times New Roman" w:eastAsiaTheme="minorEastAsia" w:hAnsi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AC0AAB"/>
    <w:rPr>
      <w:rFonts w:ascii="Times New Roman" w:eastAsiaTheme="minorEastAsia" w:hAnsi="Times New Roman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rsid w:val="00AC0AAB"/>
    <w:pPr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C0AAB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qFormat/>
    <w:rsid w:val="00AC0AAB"/>
    <w:rPr>
      <w:rFonts w:ascii="Times New Roman" w:hAnsi="Times New Roman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AAB"/>
    <w:pPr>
      <w:spacing w:line="240" w:lineRule="auto"/>
      <w:jc w:val="left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AAB"/>
    <w:rPr>
      <w:rFonts w:ascii="Times New Roman" w:eastAsiaTheme="minorEastAsia" w:hAnsi="Times New Roman" w:cs="Times New Roman"/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85E1F"/>
    <w:pPr>
      <w:spacing w:after="0" w:line="240" w:lineRule="auto"/>
      <w:jc w:val="both"/>
    </w:pPr>
    <w:rPr>
      <w:rFonts w:ascii="Times New Roman" w:hAnsi="Times New Roman"/>
      <w:kern w:val="0"/>
      <w:sz w:val="20"/>
      <w:szCs w:val="24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B85E1F"/>
    <w:rPr>
      <w:rFonts w:ascii="Times New Roman" w:hAnsi="Times New Roman"/>
      <w:kern w:val="0"/>
      <w:sz w:val="20"/>
      <w:szCs w:val="24"/>
      <w14:ligatures w14:val="none"/>
    </w:rPr>
  </w:style>
  <w:style w:type="character" w:styleId="FootnoteReference">
    <w:name w:val="footnote reference"/>
    <w:basedOn w:val="DefaultParagraphFont"/>
    <w:uiPriority w:val="99"/>
    <w:unhideWhenUsed/>
    <w:qFormat/>
    <w:rsid w:val="00B85E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E1F"/>
    <w:pPr>
      <w:spacing w:before="120" w:after="120" w:line="240" w:lineRule="auto"/>
      <w:ind w:left="720"/>
      <w:contextualSpacing/>
      <w:jc w:val="both"/>
    </w:pPr>
    <w:rPr>
      <w:rFonts w:ascii="Times New Roman" w:eastAsiaTheme="minorEastAsia" w:hAnsi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FA"/>
  </w:style>
  <w:style w:type="paragraph" w:styleId="Footer">
    <w:name w:val="footer"/>
    <w:basedOn w:val="Normal"/>
    <w:link w:val="FooterChar"/>
    <w:uiPriority w:val="99"/>
    <w:unhideWhenUsed/>
    <w:rsid w:val="00F0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FA"/>
  </w:style>
  <w:style w:type="paragraph" w:styleId="Revision">
    <w:name w:val="Revision"/>
    <w:hidden/>
    <w:uiPriority w:val="99"/>
    <w:semiHidden/>
    <w:rsid w:val="00652EF9"/>
    <w:pPr>
      <w:spacing w:after="0" w:line="240" w:lineRule="auto"/>
    </w:pPr>
  </w:style>
  <w:style w:type="table" w:styleId="TableGrid">
    <w:name w:val="Table Grid"/>
    <w:basedOn w:val="TableNormal"/>
    <w:uiPriority w:val="59"/>
    <w:rsid w:val="0014200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ECA5-19F4-4649-90EB-C96932BE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982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 3. Määruse kavand</vt:lpstr>
    </vt:vector>
  </TitlesOfParts>
  <Company>KeMIT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3. Määruse kavand</dc:title>
  <dc:subject/>
  <dc:creator>Tauno Hilimon</dc:creator>
  <dc:description/>
  <cp:lastModifiedBy>Merje Vessmann</cp:lastModifiedBy>
  <cp:revision>4</cp:revision>
  <dcterms:created xsi:type="dcterms:W3CDTF">2024-12-11T17:38:00Z</dcterms:created>
  <dcterms:modified xsi:type="dcterms:W3CDTF">2024-12-11T17:56:00Z</dcterms:modified>
</cp:coreProperties>
</file>