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438A4" w14:textId="77777777" w:rsidR="004E6F38" w:rsidRPr="004E6F38" w:rsidRDefault="004E6F38" w:rsidP="004E6F38">
      <w:pPr>
        <w:spacing w:after="0" w:line="240" w:lineRule="auto"/>
        <w:jc w:val="right"/>
        <w:rPr>
          <w:rFonts w:ascii="Times New Roman" w:eastAsia="Arial Unicode MS" w:hAnsi="Times New Roman" w:cs="Times New Roman"/>
          <w:color w:val="auto"/>
          <w:kern w:val="0"/>
          <w:sz w:val="24"/>
          <w14:ligatures w14:val="none"/>
        </w:rPr>
      </w:pPr>
      <w:r w:rsidRPr="004E6F38">
        <w:rPr>
          <w:rFonts w:ascii="Times New Roman" w:eastAsia="Arial Unicode MS" w:hAnsi="Times New Roman" w:cs="Times New Roman"/>
          <w:color w:val="auto"/>
          <w:kern w:val="0"/>
          <w:sz w:val="24"/>
          <w14:ligatures w14:val="none"/>
        </w:rPr>
        <w:t>Ravimiseaduse muutmise seaduse (haiglaerand) eelnõu</w:t>
      </w:r>
    </w:p>
    <w:p w14:paraId="7A4DBB26" w14:textId="1AE9DF21" w:rsidR="004E6F38" w:rsidRPr="004E6F38" w:rsidRDefault="004E6F38" w:rsidP="004E6F38">
      <w:pPr>
        <w:spacing w:after="0" w:line="240" w:lineRule="auto"/>
        <w:jc w:val="right"/>
        <w:rPr>
          <w:rFonts w:ascii="Times New Roman" w:eastAsia="Arial Unicode MS" w:hAnsi="Times New Roman" w:cs="Times New Roman"/>
          <w:color w:val="auto"/>
          <w:kern w:val="0"/>
          <w:sz w:val="24"/>
          <w14:ligatures w14:val="none"/>
        </w:rPr>
      </w:pPr>
      <w:r w:rsidRPr="004E6F38">
        <w:rPr>
          <w:rFonts w:ascii="Times New Roman" w:eastAsia="Arial Unicode MS" w:hAnsi="Times New Roman" w:cs="Times New Roman"/>
          <w:color w:val="auto"/>
          <w:kern w:val="0"/>
          <w:sz w:val="24"/>
          <w14:ligatures w14:val="none"/>
        </w:rPr>
        <w:t xml:space="preserve">Lisa </w:t>
      </w:r>
      <w:r>
        <w:rPr>
          <w:rFonts w:ascii="Times New Roman" w:eastAsia="Arial Unicode MS" w:hAnsi="Times New Roman" w:cs="Times New Roman"/>
          <w:color w:val="auto"/>
          <w:kern w:val="0"/>
          <w:sz w:val="24"/>
          <w14:ligatures w14:val="none"/>
        </w:rPr>
        <w:t>2</w:t>
      </w:r>
    </w:p>
    <w:p w14:paraId="24411D6E" w14:textId="77777777" w:rsidR="00CE378D" w:rsidRDefault="00480BAB">
      <w:pPr>
        <w:spacing w:after="0"/>
        <w:ind w:left="50"/>
        <w:jc w:val="center"/>
      </w:pPr>
      <w:r>
        <w:rPr>
          <w:rFonts w:ascii="Times New Roman" w:eastAsia="Times New Roman" w:hAnsi="Times New Roman" w:cs="Times New Roman"/>
          <w:b/>
          <w:sz w:val="24"/>
        </w:rPr>
        <w:t xml:space="preserve"> </w:t>
      </w:r>
    </w:p>
    <w:p w14:paraId="5845DE59" w14:textId="00FDC0EE" w:rsidR="00CE378D" w:rsidRPr="005034C7" w:rsidRDefault="00480BAB" w:rsidP="005034C7">
      <w:pPr>
        <w:spacing w:after="0"/>
        <w:ind w:right="7"/>
        <w:jc w:val="center"/>
        <w:rPr>
          <w:sz w:val="28"/>
          <w:szCs w:val="28"/>
        </w:rPr>
      </w:pPr>
      <w:r w:rsidRPr="004E6F38">
        <w:rPr>
          <w:rFonts w:ascii="Times New Roman" w:eastAsia="Times New Roman" w:hAnsi="Times New Roman" w:cs="Times New Roman"/>
          <w:b/>
          <w:sz w:val="28"/>
          <w:szCs w:val="28"/>
        </w:rPr>
        <w:t xml:space="preserve">Ravimiseaduse muutmise seaduse (haiglaerand) eelnõu märkuste ja ettepanekute tabel </w:t>
      </w:r>
    </w:p>
    <w:tbl>
      <w:tblPr>
        <w:tblStyle w:val="TableGrid"/>
        <w:tblW w:w="14591" w:type="dxa"/>
        <w:tblInd w:w="5" w:type="dxa"/>
        <w:tblCellMar>
          <w:top w:w="54" w:type="dxa"/>
          <w:right w:w="48" w:type="dxa"/>
        </w:tblCellMar>
        <w:tblLook w:val="04A0" w:firstRow="1" w:lastRow="0" w:firstColumn="1" w:lastColumn="0" w:noHBand="0" w:noVBand="1"/>
      </w:tblPr>
      <w:tblGrid>
        <w:gridCol w:w="562"/>
        <w:gridCol w:w="2661"/>
        <w:gridCol w:w="176"/>
        <w:gridCol w:w="4820"/>
        <w:gridCol w:w="6372"/>
      </w:tblGrid>
      <w:tr w:rsidR="00CE378D" w14:paraId="698A5D78" w14:textId="77777777" w:rsidTr="004E6F38">
        <w:trPr>
          <w:trHeight w:val="288"/>
        </w:trPr>
        <w:tc>
          <w:tcPr>
            <w:tcW w:w="562" w:type="dxa"/>
            <w:tcBorders>
              <w:top w:val="single" w:sz="4" w:space="0" w:color="000000"/>
              <w:left w:val="single" w:sz="4" w:space="0" w:color="000000"/>
              <w:bottom w:val="single" w:sz="4" w:space="0" w:color="000000"/>
              <w:right w:val="single" w:sz="4" w:space="0" w:color="000000"/>
            </w:tcBorders>
          </w:tcPr>
          <w:p w14:paraId="0B6FCE62" w14:textId="77777777" w:rsidR="00CE378D" w:rsidRDefault="00480BAB">
            <w:pPr>
              <w:ind w:left="110"/>
            </w:pPr>
            <w:r>
              <w:rPr>
                <w:rFonts w:ascii="Times New Roman" w:eastAsia="Times New Roman" w:hAnsi="Times New Roman" w:cs="Times New Roman"/>
                <w:b/>
                <w:sz w:val="24"/>
              </w:rPr>
              <w:t xml:space="preserve"> </w:t>
            </w:r>
          </w:p>
        </w:tc>
        <w:tc>
          <w:tcPr>
            <w:tcW w:w="2661" w:type="dxa"/>
            <w:tcBorders>
              <w:top w:val="single" w:sz="4" w:space="0" w:color="000000"/>
              <w:left w:val="single" w:sz="4" w:space="0" w:color="000000"/>
              <w:bottom w:val="single" w:sz="4" w:space="0" w:color="000000"/>
              <w:right w:val="nil"/>
            </w:tcBorders>
          </w:tcPr>
          <w:p w14:paraId="5B4D351B" w14:textId="77777777" w:rsidR="00CE378D" w:rsidRDefault="00480BAB">
            <w:pPr>
              <w:ind w:left="110"/>
            </w:pPr>
            <w:r>
              <w:rPr>
                <w:rFonts w:ascii="Times New Roman" w:eastAsia="Times New Roman" w:hAnsi="Times New Roman" w:cs="Times New Roman"/>
                <w:b/>
                <w:sz w:val="24"/>
              </w:rPr>
              <w:t xml:space="preserve">Esitaja </w:t>
            </w:r>
          </w:p>
        </w:tc>
        <w:tc>
          <w:tcPr>
            <w:tcW w:w="176" w:type="dxa"/>
            <w:tcBorders>
              <w:top w:val="single" w:sz="4" w:space="0" w:color="000000"/>
              <w:left w:val="nil"/>
              <w:bottom w:val="single" w:sz="4" w:space="0" w:color="000000"/>
              <w:right w:val="single" w:sz="4" w:space="0" w:color="000000"/>
            </w:tcBorders>
          </w:tcPr>
          <w:p w14:paraId="3BFB2CCB" w14:textId="77777777" w:rsidR="00CE378D" w:rsidRDefault="00CE378D"/>
        </w:tc>
        <w:tc>
          <w:tcPr>
            <w:tcW w:w="4820" w:type="dxa"/>
            <w:tcBorders>
              <w:top w:val="single" w:sz="4" w:space="0" w:color="000000"/>
              <w:left w:val="single" w:sz="4" w:space="0" w:color="000000"/>
              <w:bottom w:val="single" w:sz="4" w:space="0" w:color="000000"/>
              <w:right w:val="single" w:sz="4" w:space="0" w:color="000000"/>
            </w:tcBorders>
          </w:tcPr>
          <w:p w14:paraId="2DF23560" w14:textId="77777777" w:rsidR="00CE378D" w:rsidRDefault="00480BAB">
            <w:pPr>
              <w:ind w:left="108"/>
            </w:pPr>
            <w:r>
              <w:rPr>
                <w:rFonts w:ascii="Times New Roman" w:eastAsia="Times New Roman" w:hAnsi="Times New Roman" w:cs="Times New Roman"/>
                <w:b/>
                <w:sz w:val="24"/>
              </w:rPr>
              <w:t xml:space="preserve">Kommentaarid </w:t>
            </w:r>
          </w:p>
        </w:tc>
        <w:tc>
          <w:tcPr>
            <w:tcW w:w="6372" w:type="dxa"/>
            <w:tcBorders>
              <w:top w:val="single" w:sz="4" w:space="0" w:color="000000"/>
              <w:left w:val="single" w:sz="4" w:space="0" w:color="000000"/>
              <w:bottom w:val="single" w:sz="4" w:space="0" w:color="000000"/>
              <w:right w:val="single" w:sz="4" w:space="0" w:color="000000"/>
            </w:tcBorders>
          </w:tcPr>
          <w:p w14:paraId="3FF65E3F" w14:textId="77777777" w:rsidR="00CE378D" w:rsidRDefault="00480BAB">
            <w:pPr>
              <w:ind w:left="108"/>
            </w:pPr>
            <w:r>
              <w:rPr>
                <w:rFonts w:ascii="Times New Roman" w:eastAsia="Times New Roman" w:hAnsi="Times New Roman" w:cs="Times New Roman"/>
                <w:b/>
                <w:sz w:val="24"/>
              </w:rPr>
              <w:t xml:space="preserve">Vastus </w:t>
            </w:r>
          </w:p>
        </w:tc>
      </w:tr>
      <w:tr w:rsidR="00CE378D" w14:paraId="0A6BB088" w14:textId="77777777" w:rsidTr="004E6F38">
        <w:tblPrEx>
          <w:tblCellMar>
            <w:top w:w="57" w:type="dxa"/>
            <w:left w:w="108" w:type="dxa"/>
          </w:tblCellMar>
        </w:tblPrEx>
        <w:trPr>
          <w:trHeight w:val="1392"/>
        </w:trPr>
        <w:tc>
          <w:tcPr>
            <w:tcW w:w="562" w:type="dxa"/>
            <w:tcBorders>
              <w:top w:val="single" w:sz="4" w:space="0" w:color="000000"/>
              <w:left w:val="single" w:sz="4" w:space="0" w:color="000000"/>
              <w:bottom w:val="single" w:sz="4" w:space="0" w:color="000000"/>
              <w:right w:val="single" w:sz="4" w:space="0" w:color="000000"/>
            </w:tcBorders>
          </w:tcPr>
          <w:p w14:paraId="0179CE74" w14:textId="25AB41D5" w:rsidR="00CE378D" w:rsidRDefault="004E6F38">
            <w:pPr>
              <w:ind w:left="2"/>
            </w:pPr>
            <w:r>
              <w:rPr>
                <w:rFonts w:ascii="Times New Roman" w:eastAsia="Times New Roman" w:hAnsi="Times New Roman" w:cs="Times New Roman"/>
                <w:sz w:val="24"/>
              </w:rPr>
              <w:t xml:space="preserve">1.  </w:t>
            </w:r>
          </w:p>
        </w:tc>
        <w:tc>
          <w:tcPr>
            <w:tcW w:w="2837" w:type="dxa"/>
            <w:gridSpan w:val="2"/>
            <w:tcBorders>
              <w:top w:val="single" w:sz="4" w:space="0" w:color="000000"/>
              <w:left w:val="single" w:sz="4" w:space="0" w:color="000000"/>
              <w:bottom w:val="single" w:sz="4" w:space="0" w:color="000000"/>
              <w:right w:val="single" w:sz="4" w:space="0" w:color="000000"/>
            </w:tcBorders>
          </w:tcPr>
          <w:p w14:paraId="38F1E2A0" w14:textId="36093EB4" w:rsidR="00CE378D" w:rsidRPr="004E6F38" w:rsidRDefault="00480BAB">
            <w:pPr>
              <w:ind w:left="2"/>
              <w:rPr>
                <w:b/>
                <w:bCs/>
              </w:rPr>
            </w:pPr>
            <w:r w:rsidRPr="004E6F38">
              <w:rPr>
                <w:rFonts w:ascii="Times New Roman" w:eastAsia="Times New Roman" w:hAnsi="Times New Roman" w:cs="Times New Roman"/>
                <w:b/>
                <w:bCs/>
                <w:sz w:val="24"/>
              </w:rPr>
              <w:t xml:space="preserve">Eesti Ravimitootjate Liit </w:t>
            </w:r>
          </w:p>
          <w:p w14:paraId="328FED97" w14:textId="77777777" w:rsidR="00CE378D" w:rsidRDefault="00480BAB">
            <w:pPr>
              <w:ind w:left="2"/>
            </w:pPr>
            <w:r>
              <w:rPr>
                <w:rFonts w:ascii="Times New Roman" w:eastAsia="Times New Roman" w:hAnsi="Times New Roman" w:cs="Times New Roman"/>
                <w:sz w:val="24"/>
              </w:rPr>
              <w:t xml:space="preserve">25.06.2024 </w:t>
            </w:r>
          </w:p>
        </w:tc>
        <w:tc>
          <w:tcPr>
            <w:tcW w:w="4820" w:type="dxa"/>
            <w:tcBorders>
              <w:top w:val="single" w:sz="4" w:space="0" w:color="000000"/>
              <w:left w:val="single" w:sz="4" w:space="0" w:color="000000"/>
              <w:bottom w:val="single" w:sz="4" w:space="0" w:color="000000"/>
              <w:right w:val="single" w:sz="4" w:space="0" w:color="000000"/>
            </w:tcBorders>
          </w:tcPr>
          <w:p w14:paraId="43983BDC" w14:textId="77777777" w:rsidR="004E6F38" w:rsidRPr="004E6F38" w:rsidRDefault="00480BAB" w:rsidP="004E6F38">
            <w:pPr>
              <w:ind w:right="61"/>
              <w:jc w:val="both"/>
              <w:rPr>
                <w:rFonts w:ascii="Times New Roman" w:eastAsia="Times New Roman" w:hAnsi="Times New Roman" w:cs="Times New Roman"/>
                <w:sz w:val="24"/>
              </w:rPr>
            </w:pPr>
            <w:r>
              <w:rPr>
                <w:rFonts w:ascii="Times New Roman" w:eastAsia="Times New Roman" w:hAnsi="Times New Roman" w:cs="Times New Roman"/>
                <w:sz w:val="24"/>
              </w:rPr>
              <w:t xml:space="preserve">1. Muudatus suurendab Ravimiameti järelevalvest tulenevaid ülesandeid, kuna töömahu prognoos on kasvav, kuid samas selleks lisaeelarvet ette ei nähta. Lisaülesande mahu eeldatust suurem kasv </w:t>
            </w:r>
            <w:r w:rsidR="004E6F38" w:rsidRPr="004E6F38">
              <w:rPr>
                <w:rFonts w:ascii="Times New Roman" w:eastAsia="Times New Roman" w:hAnsi="Times New Roman" w:cs="Times New Roman"/>
                <w:sz w:val="24"/>
              </w:rPr>
              <w:t xml:space="preserve">võib kahjustada Ravimiameti teiste ülesannete täitmist, mis võib omakorda pikendada teiste ravimite eksperthinnangutele kuluvat aega (nt rahastusprotsessis), kliiniliste uuringute hindamist, ohutusjärelvalvet, inspektsioone jms.  </w:t>
            </w:r>
          </w:p>
          <w:p w14:paraId="423D31ED" w14:textId="77777777" w:rsidR="004E6F38" w:rsidRPr="004E6F38" w:rsidRDefault="004E6F38" w:rsidP="004E6F38">
            <w:pPr>
              <w:ind w:right="61"/>
              <w:jc w:val="both"/>
              <w:rPr>
                <w:rFonts w:ascii="Times New Roman" w:eastAsia="Times New Roman" w:hAnsi="Times New Roman" w:cs="Times New Roman"/>
                <w:sz w:val="24"/>
              </w:rPr>
            </w:pPr>
            <w:r w:rsidRPr="004E6F38">
              <w:rPr>
                <w:rFonts w:ascii="Times New Roman" w:eastAsia="Times New Roman" w:hAnsi="Times New Roman" w:cs="Times New Roman"/>
                <w:b/>
                <w:sz w:val="24"/>
              </w:rPr>
              <w:t>ETTEPANEK:</w:t>
            </w:r>
            <w:r w:rsidRPr="004E6F38">
              <w:rPr>
                <w:rFonts w:ascii="Times New Roman" w:eastAsia="Times New Roman" w:hAnsi="Times New Roman" w:cs="Times New Roman"/>
                <w:sz w:val="24"/>
              </w:rPr>
              <w:t xml:space="preserve"> ei peaks ootama haiglaerandi taotluste arvu tõusu, et kaaluda taotluse hindamistasu. Pädevuse ja kvaliteedi tagamiseks võiks kaaluda hindamistasu kehtestamist juba sellesama muudatuse osana, sarnaselt kliinilise uuringu hindamise tasule või ravimi müügiloa taotluse hindamise tasule, kuna hindamine on mahukas ja nõuab siiski teaduspõhist ekspertiisi. </w:t>
            </w:r>
            <w:r w:rsidRPr="004E6F38">
              <w:rPr>
                <w:rFonts w:ascii="Times New Roman" w:eastAsia="Times New Roman" w:hAnsi="Times New Roman" w:cs="Times New Roman"/>
                <w:i/>
                <w:sz w:val="24"/>
              </w:rPr>
              <w:t xml:space="preserve"> </w:t>
            </w:r>
            <w:r w:rsidRPr="004E6F38">
              <w:rPr>
                <w:rFonts w:ascii="Times New Roman" w:eastAsia="Times New Roman" w:hAnsi="Times New Roman" w:cs="Times New Roman"/>
                <w:sz w:val="24"/>
              </w:rPr>
              <w:t xml:space="preserve"> </w:t>
            </w:r>
          </w:p>
          <w:p w14:paraId="40B1241E" w14:textId="77777777" w:rsidR="004E6F38" w:rsidRPr="004E6F38" w:rsidRDefault="004E6F38" w:rsidP="004E6F38">
            <w:pPr>
              <w:ind w:right="61"/>
              <w:jc w:val="both"/>
              <w:rPr>
                <w:rFonts w:ascii="Times New Roman" w:eastAsia="Times New Roman" w:hAnsi="Times New Roman" w:cs="Times New Roman"/>
                <w:sz w:val="24"/>
              </w:rPr>
            </w:pPr>
            <w:r w:rsidRPr="004E6F38">
              <w:rPr>
                <w:rFonts w:ascii="Times New Roman" w:eastAsia="Times New Roman" w:hAnsi="Times New Roman" w:cs="Times New Roman"/>
                <w:sz w:val="24"/>
              </w:rPr>
              <w:t xml:space="preserve">Oleks aus (ka konkurentsiseaduse silmis), et see kulu kajastuks juba haiglaerandi ravimi hinnas, mitte ülejäänud müügiloahoidjad ei maksa seda kinni. </w:t>
            </w:r>
          </w:p>
          <w:p w14:paraId="569A9A83" w14:textId="66C376A0" w:rsidR="00CE378D" w:rsidRDefault="00CE378D">
            <w:pPr>
              <w:ind w:right="61"/>
              <w:jc w:val="both"/>
            </w:pPr>
          </w:p>
        </w:tc>
        <w:tc>
          <w:tcPr>
            <w:tcW w:w="6372" w:type="dxa"/>
            <w:tcBorders>
              <w:top w:val="single" w:sz="4" w:space="0" w:color="000000"/>
              <w:left w:val="single" w:sz="4" w:space="0" w:color="000000"/>
              <w:bottom w:val="single" w:sz="4" w:space="0" w:color="000000"/>
              <w:right w:val="single" w:sz="4" w:space="0" w:color="000000"/>
            </w:tcBorders>
          </w:tcPr>
          <w:p w14:paraId="04267992" w14:textId="77777777" w:rsidR="00CE378D" w:rsidRDefault="00480BAB">
            <w:r>
              <w:rPr>
                <w:rFonts w:ascii="Times New Roman" w:eastAsia="Times New Roman" w:hAnsi="Times New Roman" w:cs="Times New Roman"/>
                <w:sz w:val="24"/>
              </w:rPr>
              <w:t xml:space="preserve">1. </w:t>
            </w:r>
            <w:r>
              <w:rPr>
                <w:rFonts w:ascii="Times New Roman" w:eastAsia="Times New Roman" w:hAnsi="Times New Roman" w:cs="Times New Roman"/>
                <w:b/>
                <w:sz w:val="24"/>
              </w:rPr>
              <w:t>Selgitame</w:t>
            </w:r>
            <w:r>
              <w:rPr>
                <w:rFonts w:ascii="Times New Roman" w:eastAsia="Times New Roman" w:hAnsi="Times New Roman" w:cs="Times New Roman"/>
                <w:sz w:val="24"/>
              </w:rPr>
              <w:t xml:space="preserve">.  </w:t>
            </w:r>
          </w:p>
          <w:p w14:paraId="531291AE" w14:textId="77777777" w:rsidR="00CE378D" w:rsidRDefault="00480BAB">
            <w:pPr>
              <w:ind w:right="60"/>
              <w:jc w:val="both"/>
            </w:pPr>
            <w:r>
              <w:rPr>
                <w:rFonts w:ascii="Times New Roman" w:eastAsia="Times New Roman" w:hAnsi="Times New Roman" w:cs="Times New Roman"/>
                <w:sz w:val="24"/>
              </w:rPr>
              <w:t xml:space="preserve">Haiglaerandiga seonduvat töömahtu ei saa hetkel taotluste vähesusest tulenevalt hinnata. Ravimiameti töömahu hindamise juurde tullakse tagasi, kui on piisavalt kogemust, millele tugineda. </w:t>
            </w:r>
          </w:p>
        </w:tc>
      </w:tr>
    </w:tbl>
    <w:p w14:paraId="60600F98" w14:textId="77777777" w:rsidR="00CE378D" w:rsidRPr="004E6F38" w:rsidRDefault="00CE378D" w:rsidP="004E6F38">
      <w:pPr>
        <w:spacing w:after="0"/>
        <w:ind w:right="12"/>
        <w:rPr>
          <w:sz w:val="2"/>
          <w:szCs w:val="2"/>
        </w:rPr>
      </w:pPr>
    </w:p>
    <w:tbl>
      <w:tblPr>
        <w:tblStyle w:val="TableGrid"/>
        <w:tblW w:w="13996" w:type="dxa"/>
        <w:tblInd w:w="5" w:type="dxa"/>
        <w:tblCellMar>
          <w:top w:w="57" w:type="dxa"/>
          <w:left w:w="108" w:type="dxa"/>
          <w:right w:w="48" w:type="dxa"/>
        </w:tblCellMar>
        <w:tblLook w:val="04A0" w:firstRow="1" w:lastRow="0" w:firstColumn="1" w:lastColumn="0" w:noHBand="0" w:noVBand="1"/>
      </w:tblPr>
      <w:tblGrid>
        <w:gridCol w:w="562"/>
        <w:gridCol w:w="2837"/>
        <w:gridCol w:w="4820"/>
        <w:gridCol w:w="5777"/>
      </w:tblGrid>
      <w:tr w:rsidR="00CE378D" w14:paraId="4184B24C" w14:textId="77777777" w:rsidTr="00480BAB">
        <w:trPr>
          <w:trHeight w:val="1493"/>
        </w:trPr>
        <w:tc>
          <w:tcPr>
            <w:tcW w:w="562" w:type="dxa"/>
            <w:tcBorders>
              <w:top w:val="single" w:sz="4" w:space="0" w:color="000000"/>
              <w:left w:val="single" w:sz="4" w:space="0" w:color="000000"/>
              <w:bottom w:val="single" w:sz="4" w:space="0" w:color="000000"/>
              <w:right w:val="single" w:sz="4" w:space="0" w:color="000000"/>
            </w:tcBorders>
          </w:tcPr>
          <w:p w14:paraId="60433147" w14:textId="77777777" w:rsidR="00CE378D" w:rsidRDefault="00CE378D"/>
        </w:tc>
        <w:tc>
          <w:tcPr>
            <w:tcW w:w="2837" w:type="dxa"/>
            <w:tcBorders>
              <w:top w:val="single" w:sz="4" w:space="0" w:color="000000"/>
              <w:left w:val="single" w:sz="4" w:space="0" w:color="000000"/>
              <w:bottom w:val="single" w:sz="4" w:space="0" w:color="000000"/>
              <w:right w:val="single" w:sz="4" w:space="0" w:color="000000"/>
            </w:tcBorders>
          </w:tcPr>
          <w:p w14:paraId="0CC662B0" w14:textId="77777777" w:rsidR="00CE378D" w:rsidRDefault="00CE378D"/>
        </w:tc>
        <w:tc>
          <w:tcPr>
            <w:tcW w:w="4820" w:type="dxa"/>
            <w:tcBorders>
              <w:top w:val="single" w:sz="4" w:space="0" w:color="000000"/>
              <w:left w:val="single" w:sz="4" w:space="0" w:color="000000"/>
              <w:bottom w:val="single" w:sz="4" w:space="0" w:color="000000"/>
              <w:right w:val="single" w:sz="4" w:space="0" w:color="000000"/>
            </w:tcBorders>
          </w:tcPr>
          <w:p w14:paraId="7413E9F2" w14:textId="77777777" w:rsidR="00CE378D" w:rsidRDefault="00480BAB">
            <w:pPr>
              <w:spacing w:after="1" w:line="238" w:lineRule="auto"/>
              <w:ind w:right="62"/>
              <w:jc w:val="both"/>
            </w:pPr>
            <w:r>
              <w:rPr>
                <w:rFonts w:ascii="Times New Roman" w:eastAsia="Times New Roman" w:hAnsi="Times New Roman" w:cs="Times New Roman"/>
                <w:sz w:val="24"/>
              </w:rPr>
              <w:t xml:space="preserve">2. Seletuskirja alusel hakkab haiglaerandi rahastamine toimuma Tervisekassa tervishoiuteenuste loetelu kaudu. Täna on tervishoiuteenuste loetellu pääsemiseks määrusega kehtestatud kriteeriumid nii tõenduspõhisusele (nt ravimite korral randomiseeritud kliiniliste uuringute tulemused jms) kui kulutõhususele. Kitsaskohaks saab pidada erinevat kohtlemist müügiloaga ja haiglaerandi korras valmistatud ravimite vahel.  </w:t>
            </w:r>
          </w:p>
          <w:p w14:paraId="2BF46F47" w14:textId="77777777" w:rsidR="004E6F38" w:rsidRDefault="00480BAB">
            <w:pPr>
              <w:jc w:val="both"/>
              <w:rPr>
                <w:rFonts w:ascii="Times New Roman" w:eastAsia="Times New Roman" w:hAnsi="Times New Roman" w:cs="Times New Roman"/>
                <w:sz w:val="24"/>
              </w:rPr>
            </w:pPr>
            <w:r>
              <w:rPr>
                <w:rFonts w:ascii="Times New Roman" w:eastAsia="Times New Roman" w:hAnsi="Times New Roman" w:cs="Times New Roman"/>
                <w:b/>
                <w:sz w:val="24"/>
              </w:rPr>
              <w:t>ETTEPANEK:</w:t>
            </w:r>
            <w:r>
              <w:rPr>
                <w:rFonts w:ascii="Times New Roman" w:eastAsia="Times New Roman" w:hAnsi="Times New Roman" w:cs="Times New Roman"/>
                <w:sz w:val="24"/>
              </w:rPr>
              <w:t xml:space="preserve"> protsess vajaks selgemat kirjeldamist ja eraldi kriteeriumite kehtestamist. </w:t>
            </w:r>
          </w:p>
          <w:p w14:paraId="34795DCF" w14:textId="77777777" w:rsidR="004E6F38" w:rsidRDefault="004E6F38">
            <w:pPr>
              <w:jc w:val="both"/>
              <w:rPr>
                <w:rFonts w:ascii="Times New Roman" w:eastAsia="Times New Roman" w:hAnsi="Times New Roman" w:cs="Times New Roman"/>
                <w:sz w:val="24"/>
              </w:rPr>
            </w:pPr>
          </w:p>
          <w:p w14:paraId="28B5CB3A" w14:textId="77777777" w:rsidR="004E6F38" w:rsidRDefault="004E6F38">
            <w:pPr>
              <w:jc w:val="both"/>
              <w:rPr>
                <w:rFonts w:ascii="Times New Roman" w:eastAsia="Times New Roman" w:hAnsi="Times New Roman" w:cs="Times New Roman"/>
                <w:sz w:val="24"/>
              </w:rPr>
            </w:pPr>
          </w:p>
          <w:p w14:paraId="43F56587" w14:textId="77777777" w:rsidR="004E6F38" w:rsidRDefault="004E6F38">
            <w:pPr>
              <w:jc w:val="both"/>
              <w:rPr>
                <w:rFonts w:ascii="Times New Roman" w:eastAsia="Times New Roman" w:hAnsi="Times New Roman" w:cs="Times New Roman"/>
                <w:sz w:val="24"/>
              </w:rPr>
            </w:pPr>
          </w:p>
          <w:p w14:paraId="41C9FC60" w14:textId="77777777" w:rsidR="004E6F38" w:rsidRDefault="004E6F38">
            <w:pPr>
              <w:jc w:val="both"/>
              <w:rPr>
                <w:rFonts w:ascii="Times New Roman" w:eastAsia="Times New Roman" w:hAnsi="Times New Roman" w:cs="Times New Roman"/>
                <w:sz w:val="24"/>
              </w:rPr>
            </w:pPr>
          </w:p>
          <w:p w14:paraId="4B864FE8" w14:textId="77777777" w:rsidR="004E6F38" w:rsidRDefault="004E6F38">
            <w:pPr>
              <w:jc w:val="both"/>
              <w:rPr>
                <w:rFonts w:ascii="Times New Roman" w:eastAsia="Times New Roman" w:hAnsi="Times New Roman" w:cs="Times New Roman"/>
                <w:sz w:val="24"/>
              </w:rPr>
            </w:pPr>
          </w:p>
          <w:p w14:paraId="758FC1CA" w14:textId="77777777" w:rsidR="004E6F38" w:rsidRDefault="004E6F38">
            <w:pPr>
              <w:jc w:val="both"/>
              <w:rPr>
                <w:rFonts w:ascii="Times New Roman" w:eastAsia="Times New Roman" w:hAnsi="Times New Roman" w:cs="Times New Roman"/>
                <w:sz w:val="24"/>
              </w:rPr>
            </w:pPr>
          </w:p>
          <w:p w14:paraId="52587E8D" w14:textId="77777777" w:rsidR="004E6F38" w:rsidRDefault="004E6F38">
            <w:pPr>
              <w:jc w:val="both"/>
              <w:rPr>
                <w:rFonts w:ascii="Times New Roman" w:eastAsia="Times New Roman" w:hAnsi="Times New Roman" w:cs="Times New Roman"/>
                <w:sz w:val="24"/>
              </w:rPr>
            </w:pPr>
          </w:p>
          <w:p w14:paraId="0243DC4E" w14:textId="77777777" w:rsidR="004E6F38" w:rsidRDefault="004E6F38">
            <w:pPr>
              <w:jc w:val="both"/>
              <w:rPr>
                <w:rFonts w:ascii="Times New Roman" w:eastAsia="Times New Roman" w:hAnsi="Times New Roman" w:cs="Times New Roman"/>
                <w:sz w:val="24"/>
              </w:rPr>
            </w:pPr>
          </w:p>
          <w:p w14:paraId="15DB16D6" w14:textId="77777777" w:rsidR="004E6F38" w:rsidRDefault="004E6F38">
            <w:pPr>
              <w:jc w:val="both"/>
              <w:rPr>
                <w:rFonts w:ascii="Times New Roman" w:eastAsia="Times New Roman" w:hAnsi="Times New Roman" w:cs="Times New Roman"/>
                <w:sz w:val="24"/>
              </w:rPr>
            </w:pPr>
          </w:p>
          <w:p w14:paraId="723A91FE" w14:textId="77777777" w:rsidR="004E6F38" w:rsidRDefault="004E6F38">
            <w:pPr>
              <w:jc w:val="both"/>
              <w:rPr>
                <w:rFonts w:ascii="Times New Roman" w:eastAsia="Times New Roman" w:hAnsi="Times New Roman" w:cs="Times New Roman"/>
                <w:sz w:val="24"/>
              </w:rPr>
            </w:pPr>
          </w:p>
          <w:p w14:paraId="2C9EE872" w14:textId="77777777" w:rsidR="004E6F38" w:rsidRDefault="004E6F38">
            <w:pPr>
              <w:jc w:val="both"/>
              <w:rPr>
                <w:rFonts w:ascii="Times New Roman" w:eastAsia="Times New Roman" w:hAnsi="Times New Roman" w:cs="Times New Roman"/>
                <w:sz w:val="24"/>
              </w:rPr>
            </w:pPr>
          </w:p>
          <w:p w14:paraId="57153A73" w14:textId="77777777" w:rsidR="004E6F38" w:rsidRDefault="004E6F38">
            <w:pPr>
              <w:jc w:val="both"/>
              <w:rPr>
                <w:rFonts w:ascii="Times New Roman" w:eastAsia="Times New Roman" w:hAnsi="Times New Roman" w:cs="Times New Roman"/>
                <w:sz w:val="24"/>
              </w:rPr>
            </w:pPr>
          </w:p>
          <w:p w14:paraId="4010EE86" w14:textId="77777777" w:rsidR="004E6F38" w:rsidRDefault="004E6F38">
            <w:pPr>
              <w:jc w:val="both"/>
              <w:rPr>
                <w:rFonts w:ascii="Times New Roman" w:eastAsia="Times New Roman" w:hAnsi="Times New Roman" w:cs="Times New Roman"/>
                <w:sz w:val="24"/>
              </w:rPr>
            </w:pPr>
          </w:p>
          <w:p w14:paraId="390A2CE0" w14:textId="77777777" w:rsidR="004E6F38" w:rsidRDefault="004E6F38">
            <w:pPr>
              <w:jc w:val="both"/>
              <w:rPr>
                <w:rFonts w:ascii="Times New Roman" w:eastAsia="Times New Roman" w:hAnsi="Times New Roman" w:cs="Times New Roman"/>
                <w:sz w:val="24"/>
              </w:rPr>
            </w:pPr>
          </w:p>
          <w:p w14:paraId="7EC25559" w14:textId="77777777" w:rsidR="004E6F38" w:rsidRDefault="004E6F38">
            <w:pPr>
              <w:jc w:val="both"/>
              <w:rPr>
                <w:rFonts w:ascii="Times New Roman" w:eastAsia="Times New Roman" w:hAnsi="Times New Roman" w:cs="Times New Roman"/>
                <w:sz w:val="24"/>
              </w:rPr>
            </w:pPr>
          </w:p>
          <w:p w14:paraId="44681023" w14:textId="77777777" w:rsidR="004E6F38" w:rsidRDefault="004E6F38">
            <w:pPr>
              <w:jc w:val="both"/>
              <w:rPr>
                <w:rFonts w:ascii="Times New Roman" w:eastAsia="Times New Roman" w:hAnsi="Times New Roman" w:cs="Times New Roman"/>
                <w:sz w:val="24"/>
              </w:rPr>
            </w:pPr>
          </w:p>
          <w:p w14:paraId="1B1F8042" w14:textId="77777777" w:rsidR="004E6F38" w:rsidRDefault="004E6F38">
            <w:pPr>
              <w:jc w:val="both"/>
              <w:rPr>
                <w:rFonts w:ascii="Times New Roman" w:eastAsia="Times New Roman" w:hAnsi="Times New Roman" w:cs="Times New Roman"/>
                <w:sz w:val="24"/>
              </w:rPr>
            </w:pPr>
          </w:p>
          <w:p w14:paraId="5A6E6982" w14:textId="77777777" w:rsidR="004E6F38" w:rsidRDefault="004E6F38">
            <w:pPr>
              <w:jc w:val="both"/>
              <w:rPr>
                <w:rFonts w:ascii="Times New Roman" w:eastAsia="Times New Roman" w:hAnsi="Times New Roman" w:cs="Times New Roman"/>
                <w:sz w:val="24"/>
              </w:rPr>
            </w:pPr>
          </w:p>
          <w:p w14:paraId="20FD292E" w14:textId="77777777" w:rsidR="004E6F38" w:rsidRDefault="004E6F38">
            <w:pPr>
              <w:jc w:val="both"/>
              <w:rPr>
                <w:rFonts w:ascii="Times New Roman" w:eastAsia="Times New Roman" w:hAnsi="Times New Roman" w:cs="Times New Roman"/>
                <w:sz w:val="24"/>
              </w:rPr>
            </w:pPr>
          </w:p>
          <w:p w14:paraId="43CB928F" w14:textId="77777777" w:rsidR="004E6F38" w:rsidRDefault="004E6F38">
            <w:pPr>
              <w:jc w:val="both"/>
              <w:rPr>
                <w:rFonts w:ascii="Times New Roman" w:eastAsia="Times New Roman" w:hAnsi="Times New Roman" w:cs="Times New Roman"/>
                <w:sz w:val="24"/>
              </w:rPr>
            </w:pPr>
          </w:p>
          <w:p w14:paraId="01D997C6" w14:textId="77777777" w:rsidR="004E6F38" w:rsidRDefault="004E6F38">
            <w:pPr>
              <w:jc w:val="both"/>
              <w:rPr>
                <w:rFonts w:ascii="Times New Roman" w:eastAsia="Times New Roman" w:hAnsi="Times New Roman" w:cs="Times New Roman"/>
                <w:sz w:val="24"/>
              </w:rPr>
            </w:pPr>
          </w:p>
          <w:p w14:paraId="03B147AF" w14:textId="77777777" w:rsidR="004E6F38" w:rsidRDefault="004E6F38">
            <w:pPr>
              <w:jc w:val="both"/>
              <w:rPr>
                <w:rFonts w:ascii="Times New Roman" w:eastAsia="Times New Roman" w:hAnsi="Times New Roman" w:cs="Times New Roman"/>
                <w:sz w:val="24"/>
              </w:rPr>
            </w:pPr>
          </w:p>
          <w:p w14:paraId="556A0074" w14:textId="77777777" w:rsidR="004E6F38" w:rsidRPr="004E6F38" w:rsidRDefault="00480BAB" w:rsidP="004E6F38">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E6F38" w:rsidRPr="004E6F38">
              <w:rPr>
                <w:rFonts w:ascii="Times New Roman" w:eastAsia="Times New Roman" w:hAnsi="Times New Roman" w:cs="Times New Roman"/>
                <w:sz w:val="24"/>
              </w:rPr>
              <w:t>3. Meie hinnangul tähendab muudatus, et mitte-</w:t>
            </w:r>
          </w:p>
          <w:p w14:paraId="5EA048A4" w14:textId="77777777" w:rsidR="004E6F38" w:rsidRPr="004E6F38" w:rsidRDefault="004E6F38" w:rsidP="004E6F38">
            <w:pPr>
              <w:jc w:val="both"/>
              <w:rPr>
                <w:rFonts w:ascii="Times New Roman" w:eastAsia="Times New Roman" w:hAnsi="Times New Roman" w:cs="Times New Roman"/>
                <w:sz w:val="24"/>
              </w:rPr>
            </w:pPr>
            <w:r w:rsidRPr="004E6F38">
              <w:rPr>
                <w:rFonts w:ascii="Times New Roman" w:eastAsia="Times New Roman" w:hAnsi="Times New Roman" w:cs="Times New Roman"/>
                <w:sz w:val="24"/>
              </w:rPr>
              <w:t xml:space="preserve">turustamine asendatakse ebapiisava kättesaadavusega, mille all mõistame ka Terviskassa poolse rahastuse puudumist. </w:t>
            </w:r>
          </w:p>
          <w:p w14:paraId="3B02E3B9" w14:textId="460FA800" w:rsidR="00CE378D" w:rsidRDefault="004E6F38" w:rsidP="004E6F38">
            <w:pPr>
              <w:jc w:val="both"/>
            </w:pPr>
            <w:r w:rsidRPr="004E6F38">
              <w:rPr>
                <w:rFonts w:ascii="Times New Roman" w:eastAsia="Times New Roman" w:hAnsi="Times New Roman" w:cs="Times New Roman"/>
                <w:sz w:val="24"/>
              </w:rPr>
              <w:t xml:space="preserve">Haiglaerandi kasutamist on piiranud just asjaolu, et seda ei olnud võimalik rakendada näidustuse puhul, kui sellele näidustusele on Euroopa Komisjoni müügiloaga uudne ravim registreeritud. Sisuliselt võivad uue sõnastuse jõustudes olla kõik uudsed ravimid Eestis blokeeritud, sest Tervisekassa vaates on kindlasti haiglaerandi korras toodetud uudne ravim soodsam ja eeldatakse, et iga müügiloaga uudset ravimit tuleks võrrelda Tervisekassa haiglaerandi teenuse hinnaga. Teisalt, seadusemuudatus looks patsientidele ligipääsu haiglaerandi alusel toodetud individualiseeritud uudsetele ravidele, mis on siiani olematu, ja arvestades Tervisekassa hoiakut kõrgehinnaliste innovatiivsete raviviiside rahastamisel, ilmselt ka mitte lahenev nähtavas ajalises perspektiivis. Seletuskiri viitab, et haiglaerand ei peaks kujunema takistuseks müügiloaga uudsete ravimite arendamisele, kuid seadusemuudatusega loodav võimalus haiglaerandi oluliselt laiemaks kasutamiseks </w:t>
            </w:r>
            <w:r w:rsidRPr="004E6F38">
              <w:rPr>
                <w:rFonts w:ascii="Times New Roman" w:eastAsia="Times New Roman" w:hAnsi="Times New Roman" w:cs="Times New Roman"/>
                <w:sz w:val="24"/>
              </w:rPr>
              <w:lastRenderedPageBreak/>
              <w:t>võib RTLi hinnangul pärssida müügiloaga uudsete ravimite kättesaadavust ka näidustustel, mille korral Eestis mingil põhjusel haiglaerandi alusel pole võimalik ravimit toota</w:t>
            </w:r>
          </w:p>
        </w:tc>
        <w:tc>
          <w:tcPr>
            <w:tcW w:w="5777" w:type="dxa"/>
            <w:tcBorders>
              <w:top w:val="single" w:sz="4" w:space="0" w:color="000000"/>
              <w:left w:val="single" w:sz="4" w:space="0" w:color="000000"/>
              <w:bottom w:val="single" w:sz="4" w:space="0" w:color="000000"/>
              <w:right w:val="single" w:sz="4" w:space="0" w:color="000000"/>
            </w:tcBorders>
          </w:tcPr>
          <w:p w14:paraId="755573AD" w14:textId="77777777" w:rsidR="00CE378D" w:rsidRDefault="00480BAB">
            <w:r>
              <w:rPr>
                <w:rFonts w:ascii="Times New Roman" w:eastAsia="Times New Roman" w:hAnsi="Times New Roman" w:cs="Times New Roman"/>
                <w:sz w:val="24"/>
              </w:rPr>
              <w:lastRenderedPageBreak/>
              <w:t xml:space="preserve">2. </w:t>
            </w:r>
            <w:r>
              <w:rPr>
                <w:rFonts w:ascii="Times New Roman" w:eastAsia="Times New Roman" w:hAnsi="Times New Roman" w:cs="Times New Roman"/>
                <w:b/>
                <w:sz w:val="24"/>
              </w:rPr>
              <w:t>Selgitame</w:t>
            </w:r>
            <w:r>
              <w:rPr>
                <w:rFonts w:ascii="Times New Roman" w:eastAsia="Times New Roman" w:hAnsi="Times New Roman" w:cs="Times New Roman"/>
                <w:sz w:val="24"/>
              </w:rPr>
              <w:t xml:space="preserve">.  </w:t>
            </w:r>
          </w:p>
          <w:p w14:paraId="36BFA34B" w14:textId="77777777" w:rsidR="00CE378D" w:rsidRDefault="00480BAB">
            <w:pPr>
              <w:ind w:right="60"/>
              <w:jc w:val="both"/>
              <w:rPr>
                <w:rFonts w:ascii="Times New Roman" w:eastAsia="Times New Roman" w:hAnsi="Times New Roman" w:cs="Times New Roman"/>
                <w:sz w:val="24"/>
              </w:rPr>
            </w:pPr>
            <w:r>
              <w:rPr>
                <w:rFonts w:ascii="Times New Roman" w:eastAsia="Times New Roman" w:hAnsi="Times New Roman" w:cs="Times New Roman"/>
                <w:sz w:val="24"/>
              </w:rPr>
              <w:t>Haiglaerandi ravimi rahastamine ei pea toimuma alati Tervisekassa kaudu. Seletuskirjas on välja toodud, et haiglaerandi ravimi rahastamiseks võib Tervisekassale taotluse esitada, aga  kohustus selleks puudub. Väljavõte seletuskirjast: „Täpsemaid lisanduvaid kulusid Tervisekassa eelarvele ei ole võimalik prognoosida, sest see sõltub sellest, milliseid haiglaerandi lube Ravimiamet väljastab ja seejärel sellest, milliste osas Tervisekassale tervishoiuteenuste loetellu lisamise taotlus esitatakse ja millist ots</w:t>
            </w:r>
            <w:r>
              <w:rPr>
                <w:rFonts w:ascii="Times New Roman" w:eastAsia="Times New Roman" w:hAnsi="Times New Roman" w:cs="Times New Roman"/>
                <w:sz w:val="24"/>
              </w:rPr>
              <w:t xml:space="preserve">ustatakse teenuste loetelust rahastada“.  </w:t>
            </w:r>
          </w:p>
          <w:p w14:paraId="70E841F2" w14:textId="77777777" w:rsidR="004E6F38" w:rsidRPr="004E6F38" w:rsidRDefault="004E6F38" w:rsidP="004E6F38">
            <w:pPr>
              <w:ind w:right="60"/>
              <w:jc w:val="both"/>
              <w:rPr>
                <w:rFonts w:ascii="Times New Roman" w:eastAsia="Times New Roman" w:hAnsi="Times New Roman" w:cs="Times New Roman"/>
                <w:sz w:val="24"/>
              </w:rPr>
            </w:pPr>
            <w:r w:rsidRPr="004E6F38">
              <w:rPr>
                <w:rFonts w:ascii="Times New Roman" w:eastAsia="Times New Roman" w:hAnsi="Times New Roman" w:cs="Times New Roman"/>
                <w:sz w:val="24"/>
              </w:rPr>
              <w:t xml:space="preserve">Pigem on haiglaerandi loa omajale jäetud võimalus esitada taotlus Tervisekassale ja tuuakse ka välja, et tõenäoliselt ei esitata Tervisekassale taotlust kõikide haiglaerandite puhul. Juhul, kui Tervisekassa rahastust ei ole, saab haiglaerandi ravimit siiski valmistada. </w:t>
            </w:r>
          </w:p>
          <w:p w14:paraId="65BB17DC" w14:textId="584A0F49" w:rsidR="004E6F38" w:rsidRPr="004E6F38" w:rsidRDefault="004E6F38" w:rsidP="004E6F38">
            <w:pPr>
              <w:ind w:right="60"/>
              <w:jc w:val="both"/>
              <w:rPr>
                <w:rFonts w:ascii="Times New Roman" w:eastAsia="Times New Roman" w:hAnsi="Times New Roman" w:cs="Times New Roman"/>
                <w:sz w:val="24"/>
              </w:rPr>
            </w:pPr>
            <w:r w:rsidRPr="004E6F38">
              <w:rPr>
                <w:rFonts w:ascii="Times New Roman" w:eastAsia="Times New Roman" w:hAnsi="Times New Roman" w:cs="Times New Roman"/>
                <w:sz w:val="24"/>
              </w:rPr>
              <w:t xml:space="preserve">Kui esitatakse taotlus rahastamiseks Tervisekassa tervishoiuteenuste loetelu kaudu, siis rakenduvad uue teenuse lisamiseks Vabariigi Valitsuse 12.07.2018 määrusega nr 62 </w:t>
            </w:r>
            <w:hyperlink r:id="rId7">
              <w:r w:rsidRPr="004E6F38">
                <w:rPr>
                  <w:rStyle w:val="Hyperlink"/>
                  <w:rFonts w:ascii="Times New Roman" w:eastAsia="Times New Roman" w:hAnsi="Times New Roman" w:cs="Times New Roman"/>
                  <w:sz w:val="24"/>
                </w:rPr>
                <w:t>„</w:t>
              </w:r>
            </w:hyperlink>
            <w:hyperlink r:id="rId8">
              <w:r w:rsidRPr="004E6F38">
                <w:rPr>
                  <w:rStyle w:val="Hyperlink"/>
                  <w:rFonts w:ascii="Times New Roman" w:eastAsia="Times New Roman" w:hAnsi="Times New Roman" w:cs="Times New Roman"/>
                  <w:sz w:val="24"/>
                </w:rPr>
                <w:t>Tervisekassa tervishoiuteenuste loetelu</w:t>
              </w:r>
            </w:hyperlink>
            <w:hyperlink r:id="rId9">
              <w:r w:rsidRPr="004E6F38">
                <w:rPr>
                  <w:rStyle w:val="Hyperlink"/>
                  <w:rFonts w:ascii="Times New Roman" w:eastAsia="Times New Roman" w:hAnsi="Times New Roman" w:cs="Times New Roman"/>
                  <w:sz w:val="24"/>
                </w:rPr>
                <w:t xml:space="preserve"> </w:t>
              </w:r>
            </w:hyperlink>
            <w:hyperlink r:id="rId10">
              <w:r w:rsidRPr="004E6F38">
                <w:rPr>
                  <w:rStyle w:val="Hyperlink"/>
                  <w:rFonts w:ascii="Times New Roman" w:eastAsia="Times New Roman" w:hAnsi="Times New Roman" w:cs="Times New Roman"/>
                  <w:sz w:val="24"/>
                </w:rPr>
                <w:t>kriteeriumide täpsem sisu ning kriteeriumidele vastavuse</w:t>
              </w:r>
            </w:hyperlink>
            <w:hyperlink r:id="rId11">
              <w:r w:rsidRPr="004E6F38">
                <w:rPr>
                  <w:rStyle w:val="Hyperlink"/>
                  <w:rFonts w:ascii="Times New Roman" w:eastAsia="Times New Roman" w:hAnsi="Times New Roman" w:cs="Times New Roman"/>
                  <w:sz w:val="24"/>
                </w:rPr>
                <w:t xml:space="preserve"> </w:t>
              </w:r>
            </w:hyperlink>
            <w:hyperlink r:id="rId12">
              <w:r w:rsidRPr="004E6F38">
                <w:rPr>
                  <w:rStyle w:val="Hyperlink"/>
                  <w:rFonts w:ascii="Times New Roman" w:eastAsia="Times New Roman" w:hAnsi="Times New Roman" w:cs="Times New Roman"/>
                  <w:sz w:val="24"/>
                </w:rPr>
                <w:t>hindajad, tervishoiuteenuste loetelu hindamise tingimused</w:t>
              </w:r>
            </w:hyperlink>
            <w:hyperlink r:id="rId13">
              <w:r w:rsidRPr="004E6F38">
                <w:rPr>
                  <w:rStyle w:val="Hyperlink"/>
                  <w:rFonts w:ascii="Times New Roman" w:eastAsia="Times New Roman" w:hAnsi="Times New Roman" w:cs="Times New Roman"/>
                  <w:sz w:val="24"/>
                </w:rPr>
                <w:t xml:space="preserve"> </w:t>
              </w:r>
            </w:hyperlink>
            <w:r w:rsidRPr="004E6F38">
              <w:rPr>
                <w:rFonts w:ascii="Times New Roman" w:eastAsia="Times New Roman" w:hAnsi="Times New Roman" w:cs="Times New Roman"/>
                <w:sz w:val="24"/>
                <w:u w:val="single"/>
              </w:rPr>
              <w:t>ja kord, tervishoiuteenuste loetelu komisjoni</w:t>
            </w:r>
            <w:hyperlink r:id="rId14">
              <w:r w:rsidRPr="004E6F38">
                <w:rPr>
                  <w:rStyle w:val="Hyperlink"/>
                  <w:rFonts w:ascii="Times New Roman" w:eastAsia="Times New Roman" w:hAnsi="Times New Roman" w:cs="Times New Roman"/>
                  <w:sz w:val="24"/>
                </w:rPr>
                <w:t xml:space="preserve"> </w:t>
              </w:r>
            </w:hyperlink>
            <w:hyperlink r:id="rId15">
              <w:r w:rsidRPr="004E6F38">
                <w:rPr>
                  <w:rStyle w:val="Hyperlink"/>
                  <w:rFonts w:ascii="Times New Roman" w:eastAsia="Times New Roman" w:hAnsi="Times New Roman" w:cs="Times New Roman"/>
                  <w:sz w:val="24"/>
                </w:rPr>
                <w:t>moodustamine ja töökord ning arvamuse andmise kord</w:t>
              </w:r>
            </w:hyperlink>
            <w:hyperlink r:id="rId16">
              <w:r w:rsidRPr="004E6F38">
                <w:rPr>
                  <w:rStyle w:val="Hyperlink"/>
                  <w:rFonts w:ascii="Times New Roman" w:eastAsia="Times New Roman" w:hAnsi="Times New Roman" w:cs="Times New Roman"/>
                  <w:sz w:val="24"/>
                </w:rPr>
                <w:t>“</w:t>
              </w:r>
            </w:hyperlink>
            <w:r w:rsidRPr="004E6F38">
              <w:rPr>
                <w:rFonts w:ascii="Times New Roman" w:eastAsia="Times New Roman" w:hAnsi="Times New Roman" w:cs="Times New Roman"/>
                <w:sz w:val="24"/>
              </w:rPr>
              <w:t xml:space="preserve"> kehtestatud kriteeriumid. Seda nii tõenduspõhisuse, kulutõhususe, katmata ravivajaduse kui ka eelarvevõimalustele vastavuse osas. Nii müügiloaga kui ka haiglaerandi korras valmistatud ravimite korral lähtub Tervisekassa rahastamisotsuste tegemisel samadest </w:t>
            </w:r>
            <w:r w:rsidRPr="004E6F38">
              <w:rPr>
                <w:rFonts w:ascii="Times New Roman" w:eastAsia="Times New Roman" w:hAnsi="Times New Roman" w:cs="Times New Roman"/>
                <w:sz w:val="24"/>
              </w:rPr>
              <w:lastRenderedPageBreak/>
              <w:t xml:space="preserve">kriteeriumitest, mida kaalutletakse õigusaktides ettenähtud korras sarnastel alustel. </w:t>
            </w:r>
          </w:p>
          <w:p w14:paraId="64F05469" w14:textId="77777777" w:rsidR="004E6F38" w:rsidRDefault="004E6F38">
            <w:pPr>
              <w:ind w:right="60"/>
              <w:jc w:val="both"/>
            </w:pPr>
          </w:p>
          <w:p w14:paraId="0DEFC425" w14:textId="77777777" w:rsidR="004E6F38" w:rsidRDefault="004E6F38">
            <w:pPr>
              <w:ind w:right="60"/>
              <w:jc w:val="both"/>
            </w:pPr>
          </w:p>
          <w:p w14:paraId="5982C1A0" w14:textId="77777777" w:rsidR="004E6F38" w:rsidRPr="004E6F38" w:rsidRDefault="004E6F38" w:rsidP="004E6F38">
            <w:pPr>
              <w:ind w:right="60"/>
              <w:jc w:val="both"/>
              <w:rPr>
                <w:rFonts w:ascii="Times New Roman" w:hAnsi="Times New Roman" w:cs="Times New Roman"/>
                <w:sz w:val="24"/>
              </w:rPr>
            </w:pPr>
            <w:r w:rsidRPr="004E6F38">
              <w:rPr>
                <w:rFonts w:ascii="Times New Roman" w:hAnsi="Times New Roman" w:cs="Times New Roman"/>
                <w:sz w:val="24"/>
              </w:rPr>
              <w:t xml:space="preserve">3. </w:t>
            </w:r>
            <w:r w:rsidRPr="004E6F38">
              <w:rPr>
                <w:rFonts w:ascii="Times New Roman" w:hAnsi="Times New Roman" w:cs="Times New Roman"/>
                <w:b/>
                <w:bCs/>
                <w:sz w:val="24"/>
              </w:rPr>
              <w:t>Selgitame.</w:t>
            </w:r>
            <w:r w:rsidRPr="004E6F38">
              <w:rPr>
                <w:rFonts w:ascii="Times New Roman" w:hAnsi="Times New Roman" w:cs="Times New Roman"/>
                <w:sz w:val="24"/>
              </w:rPr>
              <w:t xml:space="preserve">  </w:t>
            </w:r>
          </w:p>
          <w:p w14:paraId="084AF563" w14:textId="77777777" w:rsidR="004E6F38" w:rsidRPr="004E6F38" w:rsidRDefault="004E6F38" w:rsidP="004E6F38">
            <w:pPr>
              <w:ind w:right="60"/>
              <w:jc w:val="both"/>
              <w:rPr>
                <w:rFonts w:ascii="Times New Roman" w:hAnsi="Times New Roman" w:cs="Times New Roman"/>
                <w:sz w:val="24"/>
              </w:rPr>
            </w:pPr>
            <w:r w:rsidRPr="004E6F38">
              <w:rPr>
                <w:rFonts w:ascii="Times New Roman" w:hAnsi="Times New Roman" w:cs="Times New Roman"/>
                <w:sz w:val="24"/>
              </w:rPr>
              <w:t xml:space="preserve">Väljavõte seletuskirjast: „Ravimi piisava kättesaadavuse hindamisel võtab Ravimiamet arvesse kõiki neid asjaolusid, mida arvestatakse § 161 punkti 1 alusel haiglaerandi loa andmisel. Kui sobiv müügiloaga sarnane uudne ravim on patsientidele piisavalt kättesaadav, tuleb eelistada ravi müügiloaga uudse ravimiga, mille kvaliteet, efektiivsus ja ohutus on sertifitseeritud tootmisnõuete ning ulatuslike prekliiniliste ja kliiniliste uuringute tulemusel kindlaks tehtud. Olukorras, kus patsiendi ravivõimalused on piiratud ning ainus kättesaadav ravimeetod on haiglaerandi korras valmistatav ja kasutatav uudne ravim, võib kaaluda haiglaerandi lubamist, kui ravim vastab kõikidele teistele haiglaerandi korras valmistamise tingimustele.“  </w:t>
            </w:r>
          </w:p>
          <w:p w14:paraId="6A43AE5A" w14:textId="3EB49DC6" w:rsidR="004E6F38" w:rsidRDefault="004E6F38" w:rsidP="004E6F38">
            <w:pPr>
              <w:ind w:right="60"/>
              <w:jc w:val="both"/>
            </w:pPr>
            <w:r w:rsidRPr="004E6F38">
              <w:rPr>
                <w:rFonts w:ascii="Times New Roman" w:hAnsi="Times New Roman" w:cs="Times New Roman"/>
                <w:sz w:val="24"/>
              </w:rPr>
              <w:t>Samuti ei pikenda Ravimiamet haiglaerandi luba, kui müügiloaga sarnane uudne ravim on muutunud Eesti patsientidele piisavalt kättesaadavaks.</w:t>
            </w:r>
          </w:p>
        </w:tc>
      </w:tr>
    </w:tbl>
    <w:p w14:paraId="1AB8F444" w14:textId="77777777" w:rsidR="00CE378D" w:rsidRPr="004E6F38" w:rsidRDefault="00CE378D">
      <w:pPr>
        <w:spacing w:after="0"/>
        <w:ind w:left="-1416" w:right="12"/>
        <w:jc w:val="both"/>
        <w:rPr>
          <w:sz w:val="2"/>
          <w:szCs w:val="2"/>
        </w:rPr>
      </w:pPr>
    </w:p>
    <w:tbl>
      <w:tblPr>
        <w:tblStyle w:val="TableGrid"/>
        <w:tblW w:w="13996" w:type="dxa"/>
        <w:tblInd w:w="5" w:type="dxa"/>
        <w:tblCellMar>
          <w:top w:w="57" w:type="dxa"/>
          <w:right w:w="48" w:type="dxa"/>
        </w:tblCellMar>
        <w:tblLook w:val="04A0" w:firstRow="1" w:lastRow="0" w:firstColumn="1" w:lastColumn="0" w:noHBand="0" w:noVBand="1"/>
      </w:tblPr>
      <w:tblGrid>
        <w:gridCol w:w="562"/>
        <w:gridCol w:w="1969"/>
        <w:gridCol w:w="691"/>
        <w:gridCol w:w="177"/>
        <w:gridCol w:w="4820"/>
        <w:gridCol w:w="5777"/>
      </w:tblGrid>
      <w:tr w:rsidR="00CE378D" w14:paraId="20CCD836" w14:textId="77777777">
        <w:trPr>
          <w:trHeight w:val="2497"/>
        </w:trPr>
        <w:tc>
          <w:tcPr>
            <w:tcW w:w="562" w:type="dxa"/>
            <w:tcBorders>
              <w:top w:val="single" w:sz="4" w:space="0" w:color="000000"/>
              <w:left w:val="single" w:sz="4" w:space="0" w:color="000000"/>
              <w:bottom w:val="single" w:sz="4" w:space="0" w:color="000000"/>
              <w:right w:val="single" w:sz="4" w:space="0" w:color="000000"/>
            </w:tcBorders>
          </w:tcPr>
          <w:p w14:paraId="4C7AB1DB" w14:textId="2F2BB8C8" w:rsidR="00CE378D" w:rsidRDefault="004E6F38">
            <w:pPr>
              <w:ind w:left="2"/>
            </w:pPr>
            <w:r>
              <w:rPr>
                <w:rFonts w:ascii="Times New Roman" w:eastAsia="Times New Roman" w:hAnsi="Times New Roman" w:cs="Times New Roman"/>
                <w:sz w:val="24"/>
              </w:rPr>
              <w:t xml:space="preserve">2. </w:t>
            </w:r>
          </w:p>
        </w:tc>
        <w:tc>
          <w:tcPr>
            <w:tcW w:w="2837" w:type="dxa"/>
            <w:gridSpan w:val="3"/>
            <w:tcBorders>
              <w:top w:val="single" w:sz="4" w:space="0" w:color="000000"/>
              <w:left w:val="single" w:sz="4" w:space="0" w:color="000000"/>
              <w:bottom w:val="single" w:sz="4" w:space="0" w:color="000000"/>
              <w:right w:val="single" w:sz="4" w:space="0" w:color="000000"/>
            </w:tcBorders>
          </w:tcPr>
          <w:p w14:paraId="4D49FFEA" w14:textId="77777777" w:rsidR="004E6F38" w:rsidRDefault="00480BAB">
            <w:pPr>
              <w:ind w:left="2"/>
              <w:jc w:val="both"/>
              <w:rPr>
                <w:rFonts w:ascii="Times New Roman" w:eastAsia="Times New Roman" w:hAnsi="Times New Roman" w:cs="Times New Roman"/>
                <w:b/>
                <w:bCs/>
                <w:sz w:val="24"/>
              </w:rPr>
            </w:pPr>
            <w:r w:rsidRPr="004E6F38">
              <w:rPr>
                <w:rFonts w:ascii="Times New Roman" w:eastAsia="Times New Roman" w:hAnsi="Times New Roman" w:cs="Times New Roman"/>
                <w:b/>
                <w:bCs/>
                <w:sz w:val="24"/>
              </w:rPr>
              <w:t>Eesti Ravimihulgimüüjate Liit</w:t>
            </w:r>
          </w:p>
          <w:p w14:paraId="1A060CC8" w14:textId="390699E0" w:rsidR="00CE378D" w:rsidRDefault="00480BAB">
            <w:pPr>
              <w:ind w:left="2"/>
              <w:jc w:val="both"/>
            </w:pPr>
            <w:r>
              <w:rPr>
                <w:rFonts w:ascii="Times New Roman" w:eastAsia="Times New Roman" w:hAnsi="Times New Roman" w:cs="Times New Roman"/>
                <w:sz w:val="24"/>
              </w:rPr>
              <w:t xml:space="preserve">05.07.2024 </w:t>
            </w:r>
          </w:p>
        </w:tc>
        <w:tc>
          <w:tcPr>
            <w:tcW w:w="4820" w:type="dxa"/>
            <w:tcBorders>
              <w:top w:val="single" w:sz="4" w:space="0" w:color="000000"/>
              <w:left w:val="single" w:sz="4" w:space="0" w:color="000000"/>
              <w:bottom w:val="single" w:sz="4" w:space="0" w:color="000000"/>
              <w:right w:val="single" w:sz="4" w:space="0" w:color="000000"/>
            </w:tcBorders>
          </w:tcPr>
          <w:p w14:paraId="75250F8C" w14:textId="77777777" w:rsidR="00CE378D" w:rsidRDefault="00480BAB">
            <w:pPr>
              <w:ind w:right="60"/>
              <w:jc w:val="both"/>
            </w:pPr>
            <w:r>
              <w:rPr>
                <w:rFonts w:ascii="Times New Roman" w:eastAsia="Times New Roman" w:hAnsi="Times New Roman" w:cs="Times New Roman"/>
                <w:sz w:val="24"/>
              </w:rPr>
              <w:t xml:space="preserve">Tagamaks eelnõu kooskõla EL õigusega ja kooskõla teiste valdkondlike regulatsioonidega vajab meie hinnangul põhjalikumat analüüsi ja selgitusi eelnõus kavandatud haiglaerandi laienduste vastavus EL õigusele vähemalt ravimi-, konkurentsi- ja intellektuaalomandi valdkondade ning isikute võrdse kohtlemise reeglite vaates. </w:t>
            </w:r>
          </w:p>
        </w:tc>
        <w:tc>
          <w:tcPr>
            <w:tcW w:w="5777" w:type="dxa"/>
            <w:tcBorders>
              <w:top w:val="single" w:sz="4" w:space="0" w:color="000000"/>
              <w:left w:val="single" w:sz="4" w:space="0" w:color="000000"/>
              <w:bottom w:val="single" w:sz="4" w:space="0" w:color="000000"/>
              <w:right w:val="single" w:sz="4" w:space="0" w:color="000000"/>
            </w:tcBorders>
          </w:tcPr>
          <w:p w14:paraId="29D26539" w14:textId="77777777" w:rsidR="00CE378D" w:rsidRDefault="00480BAB">
            <w:r>
              <w:rPr>
                <w:rFonts w:ascii="Times New Roman" w:eastAsia="Times New Roman" w:hAnsi="Times New Roman" w:cs="Times New Roman"/>
                <w:b/>
                <w:sz w:val="24"/>
              </w:rPr>
              <w:t>Mittearvestatud</w:t>
            </w:r>
            <w:r>
              <w:rPr>
                <w:rFonts w:ascii="Times New Roman" w:eastAsia="Times New Roman" w:hAnsi="Times New Roman" w:cs="Times New Roman"/>
                <w:sz w:val="24"/>
              </w:rPr>
              <w:t xml:space="preserve">.  </w:t>
            </w:r>
          </w:p>
          <w:p w14:paraId="0781FCD3" w14:textId="5C79BCFF" w:rsidR="00CE378D" w:rsidRDefault="00480BAB">
            <w:r>
              <w:rPr>
                <w:rFonts w:ascii="Times New Roman" w:eastAsia="Times New Roman" w:hAnsi="Times New Roman" w:cs="Times New Roman"/>
                <w:sz w:val="24"/>
              </w:rPr>
              <w:t xml:space="preserve">Eelnõus on läbivalt kirjeldatud puutumust Euroopa Liidu õiguse ja reeglitega. Samuti on toodud näiteid selle kohta, kuidas EL on astumas samme haiglaerandi kasutamise suurendamiseks. Toodud on </w:t>
            </w:r>
            <w:r>
              <w:rPr>
                <w:rFonts w:ascii="Times New Roman" w:eastAsia="Times New Roman" w:hAnsi="Times New Roman" w:cs="Times New Roman"/>
                <w:sz w:val="24"/>
              </w:rPr>
              <w:tab/>
              <w:t xml:space="preserve">näiteid kehtivatest samalaadsetest regulatsioonidest teistes EL liikmesriikides. Seega on eelnõus vastavust Euroopa Liidu õigusele ja kooskõla teiste liikmesriikide õigusega piisavalt hinnatud.  </w:t>
            </w:r>
          </w:p>
        </w:tc>
      </w:tr>
      <w:tr w:rsidR="00CE378D" w14:paraId="2EE8EAF7" w14:textId="77777777">
        <w:trPr>
          <w:trHeight w:val="1392"/>
        </w:trPr>
        <w:tc>
          <w:tcPr>
            <w:tcW w:w="562" w:type="dxa"/>
            <w:tcBorders>
              <w:top w:val="single" w:sz="4" w:space="0" w:color="000000"/>
              <w:left w:val="single" w:sz="4" w:space="0" w:color="000000"/>
              <w:bottom w:val="single" w:sz="4" w:space="0" w:color="000000"/>
              <w:right w:val="single" w:sz="4" w:space="0" w:color="000000"/>
            </w:tcBorders>
          </w:tcPr>
          <w:p w14:paraId="6D8F53E0" w14:textId="368EE5A1" w:rsidR="00CE378D" w:rsidRDefault="004E6F38">
            <w:pPr>
              <w:ind w:left="110"/>
            </w:pPr>
            <w:r>
              <w:rPr>
                <w:rFonts w:ascii="Times New Roman" w:eastAsia="Times New Roman" w:hAnsi="Times New Roman" w:cs="Times New Roman"/>
                <w:sz w:val="24"/>
              </w:rPr>
              <w:t xml:space="preserve">3.  </w:t>
            </w:r>
          </w:p>
        </w:tc>
        <w:tc>
          <w:tcPr>
            <w:tcW w:w="1969" w:type="dxa"/>
            <w:tcBorders>
              <w:top w:val="single" w:sz="4" w:space="0" w:color="000000"/>
              <w:left w:val="single" w:sz="4" w:space="0" w:color="000000"/>
              <w:bottom w:val="single" w:sz="4" w:space="0" w:color="000000"/>
              <w:right w:val="nil"/>
            </w:tcBorders>
          </w:tcPr>
          <w:p w14:paraId="29102612" w14:textId="77777777" w:rsidR="004E6F38" w:rsidRPr="004E6F38" w:rsidRDefault="00480BAB" w:rsidP="004E6F38">
            <w:pPr>
              <w:tabs>
                <w:tab w:val="center" w:pos="1269"/>
              </w:tabs>
              <w:rPr>
                <w:b/>
                <w:bCs/>
              </w:rPr>
            </w:pPr>
            <w:r w:rsidRPr="004E6F38">
              <w:rPr>
                <w:rFonts w:ascii="Times New Roman" w:eastAsia="Times New Roman" w:hAnsi="Times New Roman" w:cs="Times New Roman"/>
                <w:b/>
                <w:bCs/>
                <w:sz w:val="24"/>
              </w:rPr>
              <w:t>Eesti Arstide</w:t>
            </w:r>
          </w:p>
          <w:p w14:paraId="245D9A61" w14:textId="1F7A11F8" w:rsidR="00CE378D" w:rsidRPr="004E6F38" w:rsidRDefault="00480BAB" w:rsidP="004E6F38">
            <w:pPr>
              <w:tabs>
                <w:tab w:val="center" w:pos="1269"/>
              </w:tabs>
            </w:pPr>
            <w:r w:rsidRPr="004E6F38">
              <w:rPr>
                <w:rFonts w:ascii="Times New Roman" w:eastAsia="Times New Roman" w:hAnsi="Times New Roman" w:cs="Times New Roman"/>
                <w:sz w:val="24"/>
              </w:rPr>
              <w:t xml:space="preserve">05.07.2024 </w:t>
            </w:r>
          </w:p>
        </w:tc>
        <w:tc>
          <w:tcPr>
            <w:tcW w:w="691" w:type="dxa"/>
            <w:tcBorders>
              <w:top w:val="single" w:sz="4" w:space="0" w:color="000000"/>
              <w:left w:val="nil"/>
              <w:bottom w:val="single" w:sz="4" w:space="0" w:color="000000"/>
              <w:right w:val="nil"/>
            </w:tcBorders>
          </w:tcPr>
          <w:p w14:paraId="4BE6778D" w14:textId="77777777" w:rsidR="00CE378D" w:rsidRPr="004E6F38" w:rsidRDefault="00480BAB">
            <w:pPr>
              <w:rPr>
                <w:rFonts w:ascii="Times New Roman" w:eastAsia="Times New Roman" w:hAnsi="Times New Roman" w:cs="Times New Roman"/>
                <w:b/>
                <w:bCs/>
                <w:sz w:val="24"/>
              </w:rPr>
            </w:pPr>
            <w:r w:rsidRPr="004E6F38">
              <w:rPr>
                <w:rFonts w:ascii="Times New Roman" w:eastAsia="Times New Roman" w:hAnsi="Times New Roman" w:cs="Times New Roman"/>
                <w:b/>
                <w:bCs/>
                <w:sz w:val="24"/>
              </w:rPr>
              <w:t xml:space="preserve">Liit </w:t>
            </w:r>
          </w:p>
          <w:p w14:paraId="06418EF7" w14:textId="77777777" w:rsidR="004E6F38" w:rsidRPr="004E6F38" w:rsidRDefault="004E6F38">
            <w:pPr>
              <w:rPr>
                <w:b/>
                <w:bCs/>
              </w:rPr>
            </w:pPr>
          </w:p>
          <w:p w14:paraId="35F8383B" w14:textId="77777777" w:rsidR="004E6F38" w:rsidRPr="004E6F38" w:rsidRDefault="004E6F38">
            <w:pPr>
              <w:rPr>
                <w:b/>
                <w:bCs/>
              </w:rPr>
            </w:pPr>
          </w:p>
        </w:tc>
        <w:tc>
          <w:tcPr>
            <w:tcW w:w="177" w:type="dxa"/>
            <w:tcBorders>
              <w:top w:val="single" w:sz="4" w:space="0" w:color="000000"/>
              <w:left w:val="nil"/>
              <w:bottom w:val="single" w:sz="4" w:space="0" w:color="000000"/>
              <w:right w:val="single" w:sz="4" w:space="0" w:color="000000"/>
            </w:tcBorders>
          </w:tcPr>
          <w:p w14:paraId="0E9203BB" w14:textId="230C325F" w:rsidR="00CE378D" w:rsidRDefault="00CE378D">
            <w:pPr>
              <w:jc w:val="both"/>
            </w:pPr>
          </w:p>
        </w:tc>
        <w:tc>
          <w:tcPr>
            <w:tcW w:w="4820" w:type="dxa"/>
            <w:tcBorders>
              <w:top w:val="single" w:sz="4" w:space="0" w:color="000000"/>
              <w:left w:val="single" w:sz="4" w:space="0" w:color="000000"/>
              <w:bottom w:val="single" w:sz="4" w:space="0" w:color="000000"/>
              <w:right w:val="single" w:sz="4" w:space="0" w:color="000000"/>
            </w:tcBorders>
          </w:tcPr>
          <w:p w14:paraId="12A5DDAD" w14:textId="77777777" w:rsidR="00CE378D" w:rsidRDefault="00480BAB">
            <w:pPr>
              <w:ind w:left="108" w:right="58"/>
              <w:jc w:val="both"/>
            </w:pPr>
            <w:r>
              <w:rPr>
                <w:rFonts w:ascii="Times New Roman" w:eastAsia="Times New Roman" w:hAnsi="Times New Roman" w:cs="Times New Roman"/>
                <w:sz w:val="24"/>
              </w:rPr>
              <w:t xml:space="preserve">Arstide liit toetab ravimiseaduse muudatusi. Leiame, et muudatused aitavad suurendada uudsete ravimite kättesaadavust Eesti patsientidele ja laiendada harvikhaiguste ravivõimalusi. </w:t>
            </w:r>
          </w:p>
        </w:tc>
        <w:tc>
          <w:tcPr>
            <w:tcW w:w="5777" w:type="dxa"/>
            <w:tcBorders>
              <w:top w:val="single" w:sz="4" w:space="0" w:color="000000"/>
              <w:left w:val="single" w:sz="4" w:space="0" w:color="000000"/>
              <w:bottom w:val="single" w:sz="4" w:space="0" w:color="000000"/>
              <w:right w:val="single" w:sz="4" w:space="0" w:color="000000"/>
            </w:tcBorders>
          </w:tcPr>
          <w:p w14:paraId="0035E6EE" w14:textId="77777777" w:rsidR="00CE378D" w:rsidRDefault="00480BAB">
            <w:pPr>
              <w:ind w:left="108"/>
            </w:pPr>
            <w:r>
              <w:rPr>
                <w:rFonts w:ascii="Times New Roman" w:eastAsia="Times New Roman" w:hAnsi="Times New Roman" w:cs="Times New Roman"/>
                <w:sz w:val="24"/>
              </w:rPr>
              <w:t xml:space="preserve"> </w:t>
            </w:r>
          </w:p>
        </w:tc>
      </w:tr>
    </w:tbl>
    <w:p w14:paraId="388AC98B" w14:textId="77777777" w:rsidR="00CE378D" w:rsidRDefault="00480BAB">
      <w:pPr>
        <w:spacing w:after="0"/>
        <w:jc w:val="both"/>
      </w:pPr>
      <w:r>
        <w:rPr>
          <w:rFonts w:ascii="Times New Roman" w:eastAsia="Times New Roman" w:hAnsi="Times New Roman" w:cs="Times New Roman"/>
          <w:sz w:val="24"/>
        </w:rPr>
        <w:t xml:space="preserve"> </w:t>
      </w:r>
    </w:p>
    <w:p w14:paraId="3F62AA1F" w14:textId="77777777" w:rsidR="00CE378D" w:rsidRDefault="00480BAB">
      <w:pPr>
        <w:spacing w:after="0"/>
        <w:jc w:val="both"/>
      </w:pPr>
      <w:r>
        <w:rPr>
          <w:rFonts w:ascii="Times New Roman" w:eastAsia="Times New Roman" w:hAnsi="Times New Roman" w:cs="Times New Roman"/>
          <w:sz w:val="24"/>
        </w:rPr>
        <w:t xml:space="preserve"> </w:t>
      </w:r>
    </w:p>
    <w:p w14:paraId="47252BD2" w14:textId="77777777" w:rsidR="00CE378D" w:rsidRDefault="00480BAB">
      <w:pPr>
        <w:spacing w:after="0"/>
        <w:jc w:val="both"/>
      </w:pPr>
      <w:r>
        <w:rPr>
          <w:rFonts w:ascii="Times New Roman" w:eastAsia="Times New Roman" w:hAnsi="Times New Roman" w:cs="Times New Roman"/>
          <w:sz w:val="24"/>
        </w:rPr>
        <w:t xml:space="preserve"> </w:t>
      </w:r>
    </w:p>
    <w:p w14:paraId="780EF8D8" w14:textId="77777777" w:rsidR="00CE378D" w:rsidRDefault="00480BAB">
      <w:pPr>
        <w:spacing w:after="0"/>
        <w:jc w:val="both"/>
      </w:pPr>
      <w:r>
        <w:rPr>
          <w:rFonts w:ascii="Times New Roman" w:eastAsia="Times New Roman" w:hAnsi="Times New Roman" w:cs="Times New Roman"/>
          <w:sz w:val="24"/>
        </w:rPr>
        <w:t xml:space="preserve"> </w:t>
      </w:r>
    </w:p>
    <w:sectPr w:rsidR="00CE378D">
      <w:footerReference w:type="even" r:id="rId17"/>
      <w:footerReference w:type="default" r:id="rId18"/>
      <w:footerReference w:type="first" r:id="rId19"/>
      <w:pgSz w:w="16838" w:h="11906" w:orient="landscape"/>
      <w:pgMar w:top="1421" w:right="1409" w:bottom="1620"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6C2E" w14:textId="77777777" w:rsidR="0093024E" w:rsidRDefault="0093024E">
      <w:pPr>
        <w:spacing w:after="0" w:line="240" w:lineRule="auto"/>
      </w:pPr>
      <w:r>
        <w:separator/>
      </w:r>
    </w:p>
  </w:endnote>
  <w:endnote w:type="continuationSeparator" w:id="0">
    <w:p w14:paraId="03E04BC3" w14:textId="77777777" w:rsidR="0093024E" w:rsidRDefault="0093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3E6CD" w14:textId="77777777" w:rsidR="00CE378D" w:rsidRDefault="00480BAB">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ECA1A04" w14:textId="77777777" w:rsidR="00CE378D" w:rsidRDefault="00480BAB">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9CBDF" w14:textId="4D19933D" w:rsidR="00CE378D" w:rsidRDefault="00480BAB" w:rsidP="004E6F38">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14B54" w14:textId="77777777" w:rsidR="00CE378D" w:rsidRDefault="00480BAB">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BD3D1D2" w14:textId="77777777" w:rsidR="00CE378D" w:rsidRDefault="00480BAB">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7A92C" w14:textId="77777777" w:rsidR="0093024E" w:rsidRDefault="0093024E">
      <w:pPr>
        <w:spacing w:after="0" w:line="240" w:lineRule="auto"/>
      </w:pPr>
      <w:r>
        <w:separator/>
      </w:r>
    </w:p>
  </w:footnote>
  <w:footnote w:type="continuationSeparator" w:id="0">
    <w:p w14:paraId="3DF87C29" w14:textId="77777777" w:rsidR="0093024E" w:rsidRDefault="00930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B59B1"/>
    <w:multiLevelType w:val="hybridMultilevel"/>
    <w:tmpl w:val="39EA106A"/>
    <w:lvl w:ilvl="0" w:tplc="23A2413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8E6E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00E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4C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C22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3082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297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D011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C86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AA6BD0"/>
    <w:multiLevelType w:val="hybridMultilevel"/>
    <w:tmpl w:val="AFCA4A36"/>
    <w:lvl w:ilvl="0" w:tplc="86981896">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2C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CB0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A87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017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C2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440C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827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286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DE6993"/>
    <w:multiLevelType w:val="hybridMultilevel"/>
    <w:tmpl w:val="F1AAA568"/>
    <w:lvl w:ilvl="0" w:tplc="F2E60AFC">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58E2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A89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AF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82E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A9B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7E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CDA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EEAA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DA28BD"/>
    <w:multiLevelType w:val="hybridMultilevel"/>
    <w:tmpl w:val="4D2294A2"/>
    <w:lvl w:ilvl="0" w:tplc="8BFE17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A3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0B4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7C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0A5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0D0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0AC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EB3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4C1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8278A"/>
    <w:multiLevelType w:val="hybridMultilevel"/>
    <w:tmpl w:val="0AEC4CF2"/>
    <w:lvl w:ilvl="0" w:tplc="50C065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E47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A8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AD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6EA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E7C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A11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A3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6F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30110A"/>
    <w:multiLevelType w:val="hybridMultilevel"/>
    <w:tmpl w:val="D8BC2E16"/>
    <w:lvl w:ilvl="0" w:tplc="6A967E8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6C34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8FC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8D2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A7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075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EAE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ECB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284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04278994">
    <w:abstractNumId w:val="1"/>
  </w:num>
  <w:num w:numId="2" w16cid:durableId="2105832410">
    <w:abstractNumId w:val="2"/>
  </w:num>
  <w:num w:numId="3" w16cid:durableId="219370595">
    <w:abstractNumId w:val="0"/>
  </w:num>
  <w:num w:numId="4" w16cid:durableId="703676400">
    <w:abstractNumId w:val="5"/>
  </w:num>
  <w:num w:numId="5" w16cid:durableId="236133065">
    <w:abstractNumId w:val="3"/>
  </w:num>
  <w:num w:numId="6" w16cid:durableId="1279876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8D"/>
    <w:rsid w:val="00480BAB"/>
    <w:rsid w:val="004E6F38"/>
    <w:rsid w:val="005034C7"/>
    <w:rsid w:val="00745A51"/>
    <w:rsid w:val="00861E35"/>
    <w:rsid w:val="0093024E"/>
    <w:rsid w:val="00B8610C"/>
    <w:rsid w:val="00B918F2"/>
    <w:rsid w:val="00CE378D"/>
    <w:rsid w:val="00F150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E683"/>
  <w15:docId w15:val="{C7E9CC35-4EA2-4E27-A158-C8B81C4A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E6F38"/>
    <w:rPr>
      <w:color w:val="467886" w:themeColor="hyperlink"/>
      <w:u w:val="single"/>
    </w:rPr>
  </w:style>
  <w:style w:type="character" w:styleId="UnresolvedMention">
    <w:name w:val="Unresolved Mention"/>
    <w:basedOn w:val="DefaultParagraphFont"/>
    <w:uiPriority w:val="99"/>
    <w:semiHidden/>
    <w:unhideWhenUsed/>
    <w:rsid w:val="004E6F38"/>
    <w:rPr>
      <w:color w:val="605E5C"/>
      <w:shd w:val="clear" w:color="auto" w:fill="E1DFDD"/>
    </w:rPr>
  </w:style>
  <w:style w:type="paragraph" w:styleId="Header">
    <w:name w:val="header"/>
    <w:basedOn w:val="Normal"/>
    <w:link w:val="HeaderChar"/>
    <w:uiPriority w:val="99"/>
    <w:unhideWhenUsed/>
    <w:rsid w:val="004E6F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6F3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iigiteataja.ee/akt/105042023009" TargetMode="External"/><Relationship Id="rId13" Type="http://schemas.openxmlformats.org/officeDocument/2006/relationships/hyperlink" Target="https://www.riigiteataja.ee/akt/10504202300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iigiteataja.ee/akt/105042023009" TargetMode="External"/><Relationship Id="rId12" Type="http://schemas.openxmlformats.org/officeDocument/2006/relationships/hyperlink" Target="https://www.riigiteataja.ee/akt/1050420230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iigiteataja.ee/akt/10504202300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igiteataja.ee/akt/105042023009" TargetMode="External"/><Relationship Id="rId5" Type="http://schemas.openxmlformats.org/officeDocument/2006/relationships/footnotes" Target="footnotes.xml"/><Relationship Id="rId15" Type="http://schemas.openxmlformats.org/officeDocument/2006/relationships/hyperlink" Target="https://www.riigiteataja.ee/akt/105042023009" TargetMode="External"/><Relationship Id="rId10" Type="http://schemas.openxmlformats.org/officeDocument/2006/relationships/hyperlink" Target="https://www.riigiteataja.ee/akt/10504202300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iigiteataja.ee/akt/105042023009" TargetMode="External"/><Relationship Id="rId14" Type="http://schemas.openxmlformats.org/officeDocument/2006/relationships/hyperlink" Target="https://www.riigiteataja.ee/akt/105042023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6265</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Amos</dc:creator>
  <cp:keywords/>
  <cp:lastModifiedBy>Heili Tõnisson</cp:lastModifiedBy>
  <cp:revision>4</cp:revision>
  <dcterms:created xsi:type="dcterms:W3CDTF">2024-10-15T07:22:00Z</dcterms:created>
  <dcterms:modified xsi:type="dcterms:W3CDTF">2024-10-15T08:32:00Z</dcterms:modified>
</cp:coreProperties>
</file>