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ED33" w14:textId="77777777" w:rsidR="00D044F9" w:rsidRDefault="00D044F9" w:rsidP="00D044F9">
      <w:pPr>
        <w:pStyle w:val="eelnumrge"/>
      </w:pPr>
      <w:r>
        <w:t>EELNÕU</w:t>
      </w:r>
    </w:p>
    <w:p w14:paraId="4D3E8E3A" w14:textId="77777777" w:rsidR="00D044F9" w:rsidRDefault="00D044F9" w:rsidP="00D044F9">
      <w:pPr>
        <w:pStyle w:val="eelnumrge"/>
      </w:pPr>
      <w:r>
        <w:t>Teine lugemine</w:t>
      </w:r>
    </w:p>
    <w:p w14:paraId="73E31298" w14:textId="21DB5813" w:rsidR="00D044F9" w:rsidRPr="00264F97" w:rsidRDefault="000E0394" w:rsidP="00D044F9">
      <w:pPr>
        <w:pStyle w:val="eelnumrge"/>
      </w:pPr>
      <w:r>
        <w:t>11.</w:t>
      </w:r>
      <w:r w:rsidR="00D044F9">
        <w:t>11.2025</w:t>
      </w:r>
    </w:p>
    <w:p w14:paraId="694D5504" w14:textId="77777777" w:rsidR="00D044F9" w:rsidRPr="00F94D78" w:rsidRDefault="00D044F9" w:rsidP="00D044F9">
      <w:pPr>
        <w:pStyle w:val="eelnunumber"/>
      </w:pPr>
      <w:r w:rsidRPr="00F94D78">
        <w:t>676 SE</w:t>
      </w:r>
      <w:r>
        <w:t xml:space="preserve"> II</w:t>
      </w:r>
    </w:p>
    <w:p w14:paraId="56C367C6" w14:textId="77777777" w:rsidR="00D044F9" w:rsidRDefault="00D044F9" w:rsidP="00D044F9">
      <w:pPr>
        <w:pStyle w:val="eelnupealkiri"/>
        <w:rPr>
          <w:bCs/>
        </w:rPr>
      </w:pPr>
      <w:r w:rsidRPr="00BB7841">
        <w:t>Jäätmeseaduse muutmise seadus</w:t>
      </w:r>
    </w:p>
    <w:p w14:paraId="2170F14C" w14:textId="77777777" w:rsidR="00D044F9" w:rsidRDefault="00D044F9" w:rsidP="00D044F9">
      <w:pPr>
        <w:pStyle w:val="pealkiri"/>
      </w:pPr>
      <w:r w:rsidRPr="00264F97">
        <w:t>§ 1. Jäätmeseaduse muutmine</w:t>
      </w:r>
    </w:p>
    <w:p w14:paraId="04E5A656" w14:textId="77777777" w:rsidR="00D044F9" w:rsidRDefault="00D044F9" w:rsidP="00D044F9">
      <w:pPr>
        <w:pStyle w:val="muudatustesissejuhatus"/>
      </w:pPr>
      <w:r w:rsidRPr="00264F97">
        <w:t>Jäätmeseaduses tehakse järgmised muudatused:</w:t>
      </w:r>
    </w:p>
    <w:p w14:paraId="792AEDC8" w14:textId="77777777" w:rsidR="00D044F9" w:rsidRDefault="00D044F9" w:rsidP="00AA762C">
      <w:pPr>
        <w:pStyle w:val="muutmisksk"/>
        <w:rPr>
          <w:b/>
          <w:bCs/>
        </w:rPr>
      </w:pPr>
      <w:r w:rsidRPr="00264F97">
        <w:rPr>
          <w:b/>
          <w:bCs/>
        </w:rPr>
        <w:t>1</w:t>
      </w:r>
      <w:r>
        <w:rPr>
          <w:b/>
          <w:bCs/>
        </w:rPr>
        <w:t>)</w:t>
      </w:r>
      <w:r w:rsidRPr="0076219F">
        <w:t> </w:t>
      </w:r>
      <w:r w:rsidRPr="00EE0BBE">
        <w:t>paragrahvi 23 lõige 1</w:t>
      </w:r>
      <w:r w:rsidRPr="00EE0BBE">
        <w:rPr>
          <w:vertAlign w:val="superscript"/>
        </w:rPr>
        <w:t>4</w:t>
      </w:r>
      <w:r w:rsidRPr="00EE0BBE">
        <w:t xml:space="preserve"> tunnistatakse kehtetuks;</w:t>
      </w:r>
    </w:p>
    <w:p w14:paraId="7EF108DD" w14:textId="77777777" w:rsidR="00D044F9" w:rsidRPr="00764AD3" w:rsidRDefault="00D044F9" w:rsidP="00AA762C">
      <w:pPr>
        <w:pStyle w:val="muutmiskskalljoonega"/>
      </w:pPr>
      <w:bookmarkStart w:id="0" w:name="_Hlk211875494"/>
      <w:r w:rsidRPr="00764AD3">
        <w:rPr>
          <w:b/>
          <w:bCs/>
        </w:rPr>
        <w:t>2</w:t>
      </w:r>
      <w:r>
        <w:rPr>
          <w:b/>
          <w:bCs/>
        </w:rPr>
        <w:t>)</w:t>
      </w:r>
      <w:r w:rsidRPr="0076219F">
        <w:t> </w:t>
      </w:r>
      <w:r w:rsidRPr="00764AD3">
        <w:t>paragrahvi 23 täiendatakse lõikega 7 järgmises sõnastuses:</w:t>
      </w:r>
    </w:p>
    <w:p w14:paraId="7FEE062F" w14:textId="19C87758" w:rsidR="00D044F9" w:rsidRDefault="00D044F9" w:rsidP="00D044F9">
      <w:r>
        <w:t>”</w:t>
      </w:r>
      <w:r w:rsidRPr="00764AD3">
        <w:t>(7</w:t>
      </w:r>
      <w:r>
        <w:t>) </w:t>
      </w:r>
      <w:r w:rsidRPr="00764AD3">
        <w:t>Euroopa Parlamendi ja nõukogu määruse (EL</w:t>
      </w:r>
      <w:r>
        <w:t>)</w:t>
      </w:r>
      <w:r w:rsidR="0076219F">
        <w:t xml:space="preserve"> </w:t>
      </w:r>
      <w:r w:rsidRPr="00764AD3">
        <w:t>2022/2065, mis käsitleb digiteenuste ühtset turgu ja millega muudetakse direktiivi 2000/31/EÜ (digiteenuste määrus</w:t>
      </w:r>
      <w:r>
        <w:t>)</w:t>
      </w:r>
      <w:r w:rsidR="0076219F">
        <w:t xml:space="preserve"> </w:t>
      </w:r>
      <w:r w:rsidRPr="00764AD3">
        <w:t>(ELT L 277, 27.10.2022, lk 1–102</w:t>
      </w:r>
      <w:r>
        <w:t>)</w:t>
      </w:r>
      <w:r w:rsidR="00910BB4">
        <w:t>,</w:t>
      </w:r>
      <w:r w:rsidR="006D480D">
        <w:t xml:space="preserve"> </w:t>
      </w:r>
      <w:r w:rsidRPr="00764AD3">
        <w:t>artikli 3 punktis i määratletud</w:t>
      </w:r>
      <w:r w:rsidR="00E07249">
        <w:t xml:space="preserve"> </w:t>
      </w:r>
      <w:r w:rsidRPr="00764AD3">
        <w:t xml:space="preserve">digiplatvormil, kes võimaldab tarbijatel sõlmida kauplejatega </w:t>
      </w:r>
      <w:proofErr w:type="spellStart"/>
      <w:r w:rsidRPr="00764AD3">
        <w:t>kauglepinguid</w:t>
      </w:r>
      <w:proofErr w:type="spellEnd"/>
      <w:r w:rsidRPr="00764AD3">
        <w:t xml:space="preserve">, on õigus registreerida end tootjana ja täita oma kauplejate </w:t>
      </w:r>
      <w:r w:rsidRPr="00E07249">
        <w:rPr>
          <w:spacing w:val="-2"/>
        </w:rPr>
        <w:t>eest laiendatud tootjavastutuse kohustusi.</w:t>
      </w:r>
      <w:r w:rsidRPr="00E07249">
        <w:rPr>
          <w:spacing w:val="-2"/>
          <w:shd w:val="clear" w:color="auto" w:fill="FFFFFF"/>
        </w:rPr>
        <w:t xml:space="preserve"> </w:t>
      </w:r>
      <w:r w:rsidRPr="00E07249">
        <w:rPr>
          <w:spacing w:val="-2"/>
        </w:rPr>
        <w:t xml:space="preserve">Digiplatvorm peab registreerimisel </w:t>
      </w:r>
      <w:r w:rsidR="00D32E7E" w:rsidRPr="00E07249">
        <w:rPr>
          <w:spacing w:val="-2"/>
        </w:rPr>
        <w:t xml:space="preserve">esitama </w:t>
      </w:r>
      <w:r w:rsidRPr="00E07249">
        <w:rPr>
          <w:spacing w:val="-2"/>
        </w:rPr>
        <w:t>kauplejate nimed, kelle nimel laiendatud tootjavastutuse kohustusi täidetakse.”;</w:t>
      </w:r>
      <w:bookmarkEnd w:id="0"/>
    </w:p>
    <w:p w14:paraId="69703BAC" w14:textId="77777777" w:rsidR="00D044F9" w:rsidRDefault="00D044F9" w:rsidP="00AA762C">
      <w:pPr>
        <w:pStyle w:val="muutmisksk"/>
      </w:pPr>
      <w:r w:rsidRPr="00764AD3">
        <w:rPr>
          <w:b/>
          <w:bCs/>
          <w:u w:val="single"/>
        </w:rPr>
        <w:t>3</w:t>
      </w:r>
      <w:r>
        <w:rPr>
          <w:b/>
          <w:bCs/>
        </w:rPr>
        <w:t>)</w:t>
      </w:r>
      <w:r w:rsidRPr="0076219F">
        <w:t> </w:t>
      </w:r>
      <w:r w:rsidRPr="00264F97">
        <w:t>paragrahv 24</w:t>
      </w:r>
      <w:r w:rsidRPr="00264F97">
        <w:rPr>
          <w:vertAlign w:val="superscript"/>
        </w:rPr>
        <w:t>1</w:t>
      </w:r>
      <w:r w:rsidRPr="00264F97">
        <w:t xml:space="preserve"> tunnistatakse kehtetuks</w:t>
      </w:r>
      <w:r>
        <w:t>;</w:t>
      </w:r>
    </w:p>
    <w:p w14:paraId="11AE2668" w14:textId="77777777" w:rsidR="00D044F9" w:rsidRDefault="00D044F9" w:rsidP="00AA762C">
      <w:pPr>
        <w:pStyle w:val="muutmisksk"/>
      </w:pPr>
      <w:r w:rsidRPr="00764AD3">
        <w:rPr>
          <w:b/>
          <w:bCs/>
          <w:u w:val="single"/>
        </w:rPr>
        <w:t>4</w:t>
      </w:r>
      <w:r>
        <w:rPr>
          <w:b/>
          <w:bCs/>
        </w:rPr>
        <w:t>)</w:t>
      </w:r>
      <w:r w:rsidRPr="0076219F">
        <w:t> </w:t>
      </w:r>
      <w:r w:rsidRPr="00264F97">
        <w:t>paragrahvi 25 lõi</w:t>
      </w:r>
      <w:r>
        <w:t>k</w:t>
      </w:r>
      <w:r w:rsidRPr="00264F97">
        <w:t>e 3 punkt 1</w:t>
      </w:r>
      <w:r w:rsidRPr="00E07249">
        <w:t xml:space="preserve"> </w:t>
      </w:r>
      <w:r w:rsidRPr="00264F97">
        <w:t>muudetakse ja sõnastatakse järgmiselt:</w:t>
      </w:r>
    </w:p>
    <w:p w14:paraId="61040CFD" w14:textId="55B0C7F8" w:rsidR="00D044F9" w:rsidRDefault="00D044F9" w:rsidP="00D044F9">
      <w:pPr>
        <w:pStyle w:val="muudetavtekst"/>
      </w:pPr>
      <w:r>
        <w:rPr>
          <w:color w:val="202020"/>
        </w:rPr>
        <w:t>”</w:t>
      </w:r>
      <w:r w:rsidRPr="50E9E442">
        <w:rPr>
          <w:color w:val="202020"/>
        </w:rPr>
        <w:t>1</w:t>
      </w:r>
      <w:r>
        <w:rPr>
          <w:color w:val="202020"/>
        </w:rPr>
        <w:t>) </w:t>
      </w:r>
      <w:r w:rsidRPr="50E9E442">
        <w:rPr>
          <w:color w:val="202020"/>
        </w:rPr>
        <w:t>patarei ja aku</w:t>
      </w:r>
      <w:r>
        <w:rPr>
          <w:color w:val="202020"/>
        </w:rPr>
        <w:t xml:space="preserve"> </w:t>
      </w:r>
      <w:r w:rsidRPr="001C5562">
        <w:rPr>
          <w:color w:val="202020"/>
        </w:rPr>
        <w:t>–</w:t>
      </w:r>
      <w:r w:rsidRPr="50E9E442">
        <w:rPr>
          <w:color w:val="202020"/>
        </w:rPr>
        <w:t xml:space="preserve"> </w:t>
      </w:r>
      <w:r>
        <w:rPr>
          <w:color w:val="202020"/>
        </w:rPr>
        <w:t>E</w:t>
      </w:r>
      <w:r w:rsidRPr="50E9E442">
        <w:rPr>
          <w:color w:val="202020"/>
        </w:rPr>
        <w:t>uroopa Parlamendi ja nõukogu määruse (EL</w:t>
      </w:r>
      <w:r>
        <w:rPr>
          <w:color w:val="202020"/>
        </w:rPr>
        <w:t>)</w:t>
      </w:r>
      <w:r w:rsidR="006D480D">
        <w:rPr>
          <w:color w:val="202020"/>
        </w:rPr>
        <w:t xml:space="preserve"> </w:t>
      </w:r>
      <w:r w:rsidRPr="50E9E442">
        <w:t>2023/1542, mis käsitleb patareisid ja akusid ning patarei- ja akujäätmeid, millega muudetakse direktiivi 2008/98/EÜ ja määrust (EL</w:t>
      </w:r>
      <w:r>
        <w:t>)</w:t>
      </w:r>
      <w:r w:rsidR="0076219F">
        <w:t xml:space="preserve"> </w:t>
      </w:r>
      <w:r w:rsidRPr="50E9E442">
        <w:t>2019/1020 ning tunnistatakse kehtetuks direktiiv 2006/66/EÜ (ELT L 191, 28.07.2023, lk 1–117), artikli 3 lõikes 1 määratletud patarei või aku;</w:t>
      </w:r>
      <w:r>
        <w:rPr>
          <w:color w:val="202020"/>
        </w:rPr>
        <w:t>”</w:t>
      </w:r>
      <w:r w:rsidRPr="50E9E442">
        <w:rPr>
          <w:color w:val="202020"/>
        </w:rPr>
        <w:t>;</w:t>
      </w:r>
    </w:p>
    <w:p w14:paraId="7373425D" w14:textId="70A4299F" w:rsidR="00D044F9" w:rsidRPr="00E07249" w:rsidRDefault="00D044F9" w:rsidP="00AA762C">
      <w:pPr>
        <w:pStyle w:val="muutmisksk"/>
      </w:pPr>
      <w:r w:rsidRPr="00764AD3">
        <w:rPr>
          <w:b/>
          <w:u w:val="single"/>
        </w:rPr>
        <w:t>5</w:t>
      </w:r>
      <w:r>
        <w:rPr>
          <w:b/>
        </w:rPr>
        <w:t>)</w:t>
      </w:r>
      <w:r w:rsidRPr="0076219F">
        <w:rPr>
          <w:bCs/>
        </w:rPr>
        <w:t> </w:t>
      </w:r>
      <w:r w:rsidRPr="18176239">
        <w:t>paragrahvi 25</w:t>
      </w:r>
      <w:r w:rsidRPr="18176239">
        <w:rPr>
          <w:vertAlign w:val="superscript"/>
        </w:rPr>
        <w:t>1</w:t>
      </w:r>
      <w:r w:rsidRPr="18176239">
        <w:t xml:space="preserve"> lõiget 6 täiendatakse pärast tekstiosa </w:t>
      </w:r>
      <w:r>
        <w:t>”</w:t>
      </w:r>
      <w:r w:rsidRPr="18176239">
        <w:t>kantavatest patareidest ja akudest</w:t>
      </w:r>
      <w:r>
        <w:t>”</w:t>
      </w:r>
      <w:r w:rsidRPr="18176239">
        <w:t xml:space="preserve"> tekstiosaga </w:t>
      </w:r>
      <w:r>
        <w:t>”</w:t>
      </w:r>
      <w:bookmarkStart w:id="1" w:name="_Hlk199770342"/>
      <w:r>
        <w:t xml:space="preserve">, </w:t>
      </w:r>
      <w:proofErr w:type="spellStart"/>
      <w:r>
        <w:t>k</w:t>
      </w:r>
      <w:r w:rsidRPr="18176239">
        <w:t>ergtranspordivahendite</w:t>
      </w:r>
      <w:proofErr w:type="spellEnd"/>
      <w:r w:rsidRPr="18176239">
        <w:t xml:space="preserve"> akudest, elektrisõidukiakudest, tööstuslikest patareidest ja akudest</w:t>
      </w:r>
      <w:bookmarkEnd w:id="1"/>
      <w:r>
        <w:t>”</w:t>
      </w:r>
      <w:r w:rsidRPr="18176239">
        <w:t>;</w:t>
      </w:r>
    </w:p>
    <w:p w14:paraId="27C5DEAD" w14:textId="77777777" w:rsidR="00D044F9" w:rsidRDefault="00D044F9" w:rsidP="00AA762C">
      <w:pPr>
        <w:pStyle w:val="muutmisksk"/>
      </w:pPr>
      <w:r w:rsidRPr="00F120BF">
        <w:rPr>
          <w:b/>
          <w:bCs/>
          <w:u w:val="single"/>
        </w:rPr>
        <w:t>6</w:t>
      </w:r>
      <w:r>
        <w:rPr>
          <w:b/>
          <w:bCs/>
        </w:rPr>
        <w:t>)</w:t>
      </w:r>
      <w:r w:rsidRPr="0076219F">
        <w:t> </w:t>
      </w:r>
      <w:r>
        <w:t>paragrahvi 26 lõige 1</w:t>
      </w:r>
      <w:r>
        <w:rPr>
          <w:vertAlign w:val="superscript"/>
        </w:rPr>
        <w:t>3</w:t>
      </w:r>
      <w:r>
        <w:t xml:space="preserve"> tunnistatakse kehtetuks;</w:t>
      </w:r>
    </w:p>
    <w:p w14:paraId="6CFC541C" w14:textId="77777777" w:rsidR="00D044F9" w:rsidRPr="00264F97" w:rsidRDefault="00D044F9" w:rsidP="00AA762C">
      <w:pPr>
        <w:pStyle w:val="muutmisksk"/>
      </w:pPr>
      <w:r w:rsidRPr="00865C53">
        <w:rPr>
          <w:b/>
          <w:u w:val="single"/>
        </w:rPr>
        <w:t>7</w:t>
      </w:r>
      <w:r>
        <w:rPr>
          <w:b/>
        </w:rPr>
        <w:t>)</w:t>
      </w:r>
      <w:r w:rsidRPr="0076219F">
        <w:rPr>
          <w:bCs/>
        </w:rPr>
        <w:t> </w:t>
      </w:r>
      <w:r w:rsidRPr="019B123D">
        <w:t>paragrahvi 26 täiendatakse lõikega 3</w:t>
      </w:r>
      <w:r w:rsidRPr="019B123D">
        <w:rPr>
          <w:vertAlign w:val="superscript"/>
        </w:rPr>
        <w:t>1</w:t>
      </w:r>
      <w:r w:rsidRPr="019B123D">
        <w:t xml:space="preserve"> järgmises sõnastuses:</w:t>
      </w:r>
    </w:p>
    <w:p w14:paraId="27339808" w14:textId="6E20EA3D" w:rsidR="00D044F9" w:rsidRDefault="00D044F9" w:rsidP="00D044F9">
      <w:pPr>
        <w:pStyle w:val="muudetavtekst"/>
      </w:pPr>
      <w:r>
        <w:t>”</w:t>
      </w:r>
      <w:r w:rsidRPr="50E9E442">
        <w:t>(3</w:t>
      </w:r>
      <w:r w:rsidRPr="50E9E442">
        <w:rPr>
          <w:vertAlign w:val="superscript"/>
        </w:rPr>
        <w:t>1</w:t>
      </w:r>
      <w:r>
        <w:t>)</w:t>
      </w:r>
      <w:r w:rsidRPr="0076219F">
        <w:rPr>
          <w:spacing w:val="-2"/>
        </w:rPr>
        <w:t> Patareidest ja akudest tekkinud jäätmete kogumise, tootjale tagastamise ning taaskasutamise või kõrvaldamise nõuded ja kord ning patarei- ja akujäätmete kogumise ja taaskasutamise sihtarvud on sätestatud Euroopa Parlamendi ja nõukogu määruse (EL)</w:t>
      </w:r>
      <w:r w:rsidR="0076219F" w:rsidRPr="0076219F">
        <w:rPr>
          <w:spacing w:val="-2"/>
        </w:rPr>
        <w:t xml:space="preserve"> </w:t>
      </w:r>
      <w:r w:rsidRPr="0076219F">
        <w:rPr>
          <w:spacing w:val="-2"/>
        </w:rPr>
        <w:t>2023/1542 VIII peatükis.”;</w:t>
      </w:r>
    </w:p>
    <w:p w14:paraId="015C2714" w14:textId="77777777" w:rsidR="00D044F9" w:rsidRDefault="00D044F9" w:rsidP="00AA762C">
      <w:pPr>
        <w:pStyle w:val="muutmisksk"/>
      </w:pPr>
      <w:r w:rsidRPr="00F120BF">
        <w:rPr>
          <w:b/>
          <w:bCs/>
          <w:u w:val="single"/>
        </w:rPr>
        <w:t>8</w:t>
      </w:r>
      <w:r>
        <w:rPr>
          <w:b/>
          <w:bCs/>
        </w:rPr>
        <w:t>)</w:t>
      </w:r>
      <w:r w:rsidRPr="0076219F">
        <w:t> </w:t>
      </w:r>
      <w:r>
        <w:t>paragrahvi 26 lõige 10 tunnistatakse kehtetuks;</w:t>
      </w:r>
    </w:p>
    <w:p w14:paraId="4753D845" w14:textId="77777777" w:rsidR="00D044F9" w:rsidRDefault="00D044F9" w:rsidP="00AA762C">
      <w:pPr>
        <w:pStyle w:val="muutmisksk"/>
      </w:pPr>
      <w:r w:rsidRPr="00F120BF">
        <w:rPr>
          <w:b/>
          <w:bCs/>
          <w:u w:val="single"/>
        </w:rPr>
        <w:t>9</w:t>
      </w:r>
      <w:r>
        <w:rPr>
          <w:b/>
          <w:bCs/>
        </w:rPr>
        <w:t>)</w:t>
      </w:r>
      <w:r w:rsidRPr="0076219F">
        <w:t> </w:t>
      </w:r>
      <w:r>
        <w:t>paragrahvi 26 lõike 11 sissejuhatavas lauseosas ja punktis 2 ning lõike 12 sissejuhatavas lauseosas asendatakse tekstiosa ”1</w:t>
      </w:r>
      <w:r>
        <w:rPr>
          <w:vertAlign w:val="superscript"/>
        </w:rPr>
        <w:t>3</w:t>
      </w:r>
      <w:r>
        <w:t>–1</w:t>
      </w:r>
      <w:r>
        <w:rPr>
          <w:vertAlign w:val="superscript"/>
        </w:rPr>
        <w:t>5</w:t>
      </w:r>
      <w:r>
        <w:t>” tekstiosaga ”1</w:t>
      </w:r>
      <w:r>
        <w:rPr>
          <w:vertAlign w:val="superscript"/>
        </w:rPr>
        <w:t>4</w:t>
      </w:r>
      <w:r>
        <w:t>, 1</w:t>
      </w:r>
      <w:r>
        <w:rPr>
          <w:vertAlign w:val="superscript"/>
        </w:rPr>
        <w:t>5</w:t>
      </w:r>
      <w:r>
        <w:t>”;</w:t>
      </w:r>
    </w:p>
    <w:p w14:paraId="769CBD22" w14:textId="77777777" w:rsidR="00D044F9" w:rsidRDefault="00D044F9" w:rsidP="00AA762C">
      <w:pPr>
        <w:pStyle w:val="muutmisksk"/>
      </w:pPr>
      <w:r w:rsidRPr="00F120BF">
        <w:rPr>
          <w:b/>
          <w:bCs/>
          <w:u w:val="single"/>
        </w:rPr>
        <w:t>10</w:t>
      </w:r>
      <w:r>
        <w:rPr>
          <w:b/>
          <w:bCs/>
        </w:rPr>
        <w:t>)</w:t>
      </w:r>
      <w:r w:rsidRPr="0076219F">
        <w:t> </w:t>
      </w:r>
      <w:r w:rsidRPr="21346DB1">
        <w:t>paragrahvi 26</w:t>
      </w:r>
      <w:r w:rsidRPr="21346DB1">
        <w:rPr>
          <w:vertAlign w:val="superscript"/>
        </w:rPr>
        <w:t>1</w:t>
      </w:r>
      <w:r w:rsidRPr="00E07249">
        <w:t xml:space="preserve"> </w:t>
      </w:r>
      <w:r w:rsidRPr="21346DB1">
        <w:t>lõige 1 muudetakse ja sõnastatakse järgmiselt:</w:t>
      </w:r>
    </w:p>
    <w:p w14:paraId="7610C67F" w14:textId="6D8B726C" w:rsidR="00D044F9" w:rsidRDefault="00D044F9" w:rsidP="00D044F9">
      <w:pPr>
        <w:pStyle w:val="muudetavtekst"/>
      </w:pPr>
      <w:r>
        <w:t>”</w:t>
      </w:r>
      <w:r w:rsidRPr="606746F3">
        <w:t>(1</w:t>
      </w:r>
      <w:r>
        <w:t>) </w:t>
      </w:r>
      <w:r w:rsidRPr="606746F3">
        <w:t xml:space="preserve">Probleemtooteregister on </w:t>
      </w:r>
      <w:r w:rsidRPr="606746F3">
        <w:rPr>
          <w:color w:val="202020"/>
        </w:rPr>
        <w:t xml:space="preserve">riigi infosüsteemi kuuluv andmekogu, mille </w:t>
      </w:r>
      <w:r>
        <w:rPr>
          <w:color w:val="202020"/>
        </w:rPr>
        <w:t>eesmärk</w:t>
      </w:r>
      <w:r w:rsidRPr="606746F3">
        <w:rPr>
          <w:color w:val="202020"/>
        </w:rPr>
        <w:t xml:space="preserve"> </w:t>
      </w:r>
      <w:r w:rsidRPr="606746F3">
        <w:t xml:space="preserve">on </w:t>
      </w:r>
      <w:r>
        <w:t xml:space="preserve">koondada </w:t>
      </w:r>
      <w:r w:rsidRPr="606746F3">
        <w:t>andme</w:t>
      </w:r>
      <w:r>
        <w:t>d</w:t>
      </w:r>
      <w:r w:rsidRPr="606746F3">
        <w:t xml:space="preserve"> probleemtoodete tootjate ja tootjate ühenduste kohta</w:t>
      </w:r>
      <w:r>
        <w:t xml:space="preserve"> ning</w:t>
      </w:r>
      <w:r w:rsidRPr="606746F3">
        <w:t xml:space="preserve"> </w:t>
      </w:r>
      <w:r>
        <w:t xml:space="preserve">pidada </w:t>
      </w:r>
      <w:r w:rsidRPr="606746F3">
        <w:t>arvestus</w:t>
      </w:r>
      <w:r>
        <w:t>t</w:t>
      </w:r>
      <w:r w:rsidRPr="606746F3">
        <w:t xml:space="preserve"> turule lastud probleemtoodete</w:t>
      </w:r>
      <w:r w:rsidR="00025E47">
        <w:t xml:space="preserve"> </w:t>
      </w:r>
      <w:r w:rsidR="008E36C9" w:rsidRPr="007F0142">
        <w:rPr>
          <w:u w:val="single"/>
        </w:rPr>
        <w:t>ning</w:t>
      </w:r>
      <w:r w:rsidRPr="606746F3">
        <w:t xml:space="preserve"> Eestis probleemtoodetest tekkinud jäätmete kogumise, käitlemise, taaskasutamise</w:t>
      </w:r>
      <w:r w:rsidRPr="00EA054F">
        <w:t xml:space="preserve"> ja </w:t>
      </w:r>
      <w:r w:rsidRPr="606746F3">
        <w:t>taaskasutamise sihtarvude saavutamise kohta</w:t>
      </w:r>
      <w:r>
        <w:t>, et</w:t>
      </w:r>
      <w:r w:rsidRPr="606746F3">
        <w:t xml:space="preserve"> edendada jäätmetekke vältimist ja vähendamist, jäätmete kogumist ja käitlemist ning taaskasutamist ja </w:t>
      </w:r>
      <w:r w:rsidRPr="606746F3">
        <w:lastRenderedPageBreak/>
        <w:t>ringlussevõttu. Andmekogu kasutatakse riikliku järelevalve te</w:t>
      </w:r>
      <w:r>
        <w:t>ge</w:t>
      </w:r>
      <w:r w:rsidRPr="606746F3">
        <w:t>miseks ja registrisse kantud andmete alusel Euroopa Komisjonile jäätme</w:t>
      </w:r>
      <w:r>
        <w:t>te kohta</w:t>
      </w:r>
      <w:r w:rsidRPr="606746F3">
        <w:t xml:space="preserve"> teabe esitamiseks.</w:t>
      </w:r>
      <w:r>
        <w:t>”</w:t>
      </w:r>
      <w:r w:rsidRPr="606746F3">
        <w:t>;</w:t>
      </w:r>
    </w:p>
    <w:p w14:paraId="7C9BEDCB" w14:textId="77777777" w:rsidR="00D044F9" w:rsidRDefault="00D044F9" w:rsidP="00AA762C">
      <w:pPr>
        <w:pStyle w:val="muutmisksk"/>
      </w:pPr>
      <w:bookmarkStart w:id="2" w:name="_Hlk174615818"/>
      <w:r w:rsidRPr="00F120BF">
        <w:rPr>
          <w:b/>
          <w:bCs/>
          <w:u w:val="single"/>
        </w:rPr>
        <w:t>11</w:t>
      </w:r>
      <w:r>
        <w:rPr>
          <w:b/>
          <w:bCs/>
        </w:rPr>
        <w:t>)</w:t>
      </w:r>
      <w:r w:rsidRPr="0076219F">
        <w:t> </w:t>
      </w:r>
      <w:r w:rsidRPr="21346DB1">
        <w:t>paragrahvi 26</w:t>
      </w:r>
      <w:r w:rsidRPr="21346DB1">
        <w:rPr>
          <w:vertAlign w:val="superscript"/>
        </w:rPr>
        <w:t>1</w:t>
      </w:r>
      <w:r w:rsidRPr="00E07249">
        <w:t xml:space="preserve"> </w:t>
      </w:r>
      <w:r>
        <w:t>täiendatakse lõigetega 1</w:t>
      </w:r>
      <w:r>
        <w:rPr>
          <w:vertAlign w:val="superscript"/>
        </w:rPr>
        <w:t>5</w:t>
      </w:r>
      <w:r>
        <w:t>–1</w:t>
      </w:r>
      <w:r>
        <w:rPr>
          <w:vertAlign w:val="superscript"/>
        </w:rPr>
        <w:t>7</w:t>
      </w:r>
      <w:r>
        <w:t xml:space="preserve"> järgmises sõnastuses:</w:t>
      </w:r>
    </w:p>
    <w:p w14:paraId="04FE8819" w14:textId="77777777" w:rsidR="00D044F9" w:rsidRDefault="00D044F9" w:rsidP="00D044F9">
      <w:pPr>
        <w:pStyle w:val="muudetavtekst"/>
      </w:pPr>
      <w:r>
        <w:t>”(1</w:t>
      </w:r>
      <w:r>
        <w:rPr>
          <w:vertAlign w:val="superscript"/>
        </w:rPr>
        <w:t>5</w:t>
      </w:r>
      <w:r>
        <w:t>) Probleemtooteregistri vastutav töötleja on Kliimaministeerium.</w:t>
      </w:r>
    </w:p>
    <w:p w14:paraId="33B7EA98" w14:textId="77777777" w:rsidR="00D044F9" w:rsidRDefault="00D044F9" w:rsidP="00D044F9">
      <w:pPr>
        <w:pStyle w:val="muudetavtekst"/>
      </w:pPr>
      <w:r w:rsidRPr="21346DB1">
        <w:t>(</w:t>
      </w:r>
      <w:r>
        <w:t>1</w:t>
      </w:r>
      <w:r>
        <w:rPr>
          <w:vertAlign w:val="superscript"/>
        </w:rPr>
        <w:t>6</w:t>
      </w:r>
      <w:r>
        <w:t>) </w:t>
      </w:r>
      <w:r w:rsidRPr="21346DB1">
        <w:t>Probleemtooteregistri infosüsteemis töödeldakse isiku</w:t>
      </w:r>
      <w:r>
        <w:t xml:space="preserve"> üld</w:t>
      </w:r>
      <w:r w:rsidRPr="21346DB1">
        <w:t>andmeid</w:t>
      </w:r>
      <w:r>
        <w:t>.</w:t>
      </w:r>
    </w:p>
    <w:p w14:paraId="31AF95F2" w14:textId="77777777" w:rsidR="00D044F9" w:rsidRDefault="00D044F9" w:rsidP="00D044F9">
      <w:pPr>
        <w:pStyle w:val="muudetavtekst"/>
      </w:pPr>
      <w:r w:rsidRPr="7F9F97BB">
        <w:t>(1</w:t>
      </w:r>
      <w:r w:rsidRPr="7F9F97BB">
        <w:rPr>
          <w:vertAlign w:val="superscript"/>
        </w:rPr>
        <w:t>7</w:t>
      </w:r>
      <w:r>
        <w:t>) </w:t>
      </w:r>
      <w:r w:rsidRPr="7F9F97BB">
        <w:t>Probleemtooteregistris säilitatakse andmeid kõige kauem tähtajatult. Andmete säilitamise täpsemad tähtajad sätestatakse andmekogu põhimääruses.</w:t>
      </w:r>
      <w:r>
        <w:t>”</w:t>
      </w:r>
      <w:r w:rsidRPr="7F9F97BB">
        <w:t>;</w:t>
      </w:r>
    </w:p>
    <w:p w14:paraId="142EBA4D" w14:textId="08302FE5" w:rsidR="00264D63" w:rsidRDefault="00264D63" w:rsidP="00264D63">
      <w:pPr>
        <w:pStyle w:val="muutmisksk"/>
      </w:pPr>
      <w:bookmarkStart w:id="3" w:name="_Hlk211875713"/>
      <w:r w:rsidRPr="007960A5">
        <w:rPr>
          <w:b/>
          <w:bCs/>
          <w:u w:val="single"/>
        </w:rPr>
        <w:t>1</w:t>
      </w:r>
      <w:r>
        <w:rPr>
          <w:b/>
          <w:bCs/>
          <w:u w:val="single"/>
        </w:rPr>
        <w:t>2</w:t>
      </w:r>
      <w:r>
        <w:rPr>
          <w:b/>
          <w:bCs/>
        </w:rPr>
        <w:t>)</w:t>
      </w:r>
      <w:r w:rsidRPr="0076219F">
        <w:t> </w:t>
      </w:r>
      <w:r>
        <w:t>paragrahvi 26</w:t>
      </w:r>
      <w:r>
        <w:rPr>
          <w:vertAlign w:val="superscript"/>
        </w:rPr>
        <w:t>1</w:t>
      </w:r>
      <w:r>
        <w:t xml:space="preserve"> lõige 2 muudetakse ja sõnastatakse järgmiselt:</w:t>
      </w:r>
    </w:p>
    <w:p w14:paraId="5FADD84A" w14:textId="77777777" w:rsidR="00264D63" w:rsidRDefault="00264D63" w:rsidP="00264D63">
      <w:pPr>
        <w:pStyle w:val="muudetavtekst"/>
      </w:pPr>
      <w:r>
        <w:t>”</w:t>
      </w:r>
      <w:r w:rsidRPr="18176239">
        <w:t>(2</w:t>
      </w:r>
      <w:r>
        <w:t>) </w:t>
      </w:r>
      <w:r w:rsidRPr="18176239">
        <w:t>Probleemtooteregistri põhimääruse k</w:t>
      </w:r>
      <w:r>
        <w:t>ehtesta</w:t>
      </w:r>
      <w:r w:rsidRPr="18176239">
        <w:t>b Vabariigi Valitsus määrusega, milles sätestatakse:</w:t>
      </w:r>
    </w:p>
    <w:p w14:paraId="2B4F7131" w14:textId="77777777" w:rsidR="00264D63" w:rsidRDefault="00264D63" w:rsidP="00264D63">
      <w:pPr>
        <w:pStyle w:val="muudetavtekst"/>
      </w:pPr>
      <w:r w:rsidRPr="21346DB1">
        <w:t>1</w:t>
      </w:r>
      <w:r>
        <w:t>) </w:t>
      </w:r>
      <w:r w:rsidRPr="21346DB1">
        <w:t>vastutav</w:t>
      </w:r>
      <w:r>
        <w:t>a</w:t>
      </w:r>
      <w:r w:rsidRPr="21346DB1">
        <w:t xml:space="preserve"> ja volitatud töötleja</w:t>
      </w:r>
      <w:r>
        <w:t xml:space="preserve"> ülesanded</w:t>
      </w:r>
      <w:r w:rsidRPr="21346DB1">
        <w:t>;</w:t>
      </w:r>
    </w:p>
    <w:p w14:paraId="21B62444" w14:textId="77777777" w:rsidR="00264D63" w:rsidRDefault="00264D63" w:rsidP="00264D63">
      <w:pPr>
        <w:pStyle w:val="muudetavtekst"/>
      </w:pPr>
      <w:r w:rsidRPr="21346DB1">
        <w:t>2</w:t>
      </w:r>
      <w:r>
        <w:t>) andmeandjad ja nende esitatavad andmed;</w:t>
      </w:r>
    </w:p>
    <w:p w14:paraId="639A18C5" w14:textId="77777777" w:rsidR="00264D63" w:rsidRDefault="00264D63" w:rsidP="00264D63">
      <w:pPr>
        <w:pStyle w:val="muudetavtekst"/>
      </w:pPr>
      <w:r w:rsidRPr="21346DB1">
        <w:t>3</w:t>
      </w:r>
      <w:r>
        <w:t>) </w:t>
      </w:r>
      <w:r w:rsidRPr="21346DB1">
        <w:t>kogutavate andmete täpsem koosseis ja nende infosüsteemi kandmise kord;</w:t>
      </w:r>
    </w:p>
    <w:p w14:paraId="29B53621" w14:textId="77777777" w:rsidR="00264D63" w:rsidRDefault="00264D63" w:rsidP="00264D63">
      <w:pPr>
        <w:pStyle w:val="muudetavtekst"/>
      </w:pPr>
      <w:r w:rsidRPr="21346DB1">
        <w:t>4</w:t>
      </w:r>
      <w:r>
        <w:t>) </w:t>
      </w:r>
      <w:r w:rsidRPr="21346DB1">
        <w:t>andmetele juurdepääsu ja andmete väljastamise kord;</w:t>
      </w:r>
    </w:p>
    <w:p w14:paraId="27EA4D6E" w14:textId="77777777" w:rsidR="00264D63" w:rsidRPr="0076219F" w:rsidRDefault="00264D63" w:rsidP="00264D63">
      <w:pPr>
        <w:pStyle w:val="muudetavtekst"/>
        <w:rPr>
          <w:spacing w:val="-4"/>
        </w:rPr>
      </w:pPr>
      <w:r w:rsidRPr="21346DB1">
        <w:t>5</w:t>
      </w:r>
      <w:r>
        <w:t>)</w:t>
      </w:r>
      <w:r w:rsidRPr="0076219F">
        <w:rPr>
          <w:spacing w:val="-4"/>
        </w:rPr>
        <w:t> andmete säilitamise tähtajad, sealhulgas logide säilitustähtaeg, ning andmete täpsem säilitamise kord;</w:t>
      </w:r>
    </w:p>
    <w:p w14:paraId="62A94CB3" w14:textId="77777777" w:rsidR="00264D63" w:rsidRDefault="00264D63" w:rsidP="00264D63">
      <w:pPr>
        <w:pStyle w:val="muudetavtekst"/>
      </w:pPr>
      <w:r w:rsidRPr="21346DB1">
        <w:t>6</w:t>
      </w:r>
      <w:r>
        <w:t>) </w:t>
      </w:r>
      <w:r w:rsidRPr="21346DB1">
        <w:t>muud korraldusküsimused.</w:t>
      </w:r>
      <w:r>
        <w:t>”</w:t>
      </w:r>
      <w:r w:rsidRPr="21346DB1">
        <w:t>;</w:t>
      </w:r>
    </w:p>
    <w:p w14:paraId="38183EC1" w14:textId="09CA90BC" w:rsidR="00D044F9" w:rsidRPr="000A22D1" w:rsidRDefault="00D044F9" w:rsidP="00AA762C">
      <w:pPr>
        <w:pStyle w:val="muutmiskskalljoonega"/>
      </w:pPr>
      <w:r w:rsidRPr="000A22D1">
        <w:rPr>
          <w:b/>
          <w:bCs/>
        </w:rPr>
        <w:t>1</w:t>
      </w:r>
      <w:r w:rsidR="00264D63">
        <w:rPr>
          <w:b/>
          <w:bCs/>
        </w:rPr>
        <w:t>3</w:t>
      </w:r>
      <w:r>
        <w:rPr>
          <w:b/>
          <w:bCs/>
        </w:rPr>
        <w:t>)</w:t>
      </w:r>
      <w:r w:rsidRPr="0076219F">
        <w:t> </w:t>
      </w:r>
      <w:r w:rsidRPr="000A22D1">
        <w:t xml:space="preserve">paragrahvi </w:t>
      </w:r>
      <w:bookmarkStart w:id="4" w:name="_Hlk207633786"/>
      <w:r w:rsidRPr="000A22D1">
        <w:t>26</w:t>
      </w:r>
      <w:r w:rsidRPr="000A22D1">
        <w:rPr>
          <w:vertAlign w:val="superscript"/>
        </w:rPr>
        <w:t>2</w:t>
      </w:r>
      <w:r w:rsidRPr="000A22D1">
        <w:t xml:space="preserve"> tekst muudetakse ja sõnastatakse järgmiselt</w:t>
      </w:r>
      <w:bookmarkEnd w:id="4"/>
      <w:r w:rsidRPr="000A22D1">
        <w:t>:</w:t>
      </w:r>
    </w:p>
    <w:p w14:paraId="152C43CA" w14:textId="77777777" w:rsidR="00D044F9" w:rsidRDefault="00D044F9" w:rsidP="00D044F9">
      <w:pPr>
        <w:pStyle w:val="muudetavtekstalljoonega"/>
      </w:pPr>
      <w:r>
        <w:t>”</w:t>
      </w:r>
      <w:bookmarkStart w:id="5" w:name="_Hlk207633769"/>
      <w:r w:rsidRPr="000A22D1">
        <w:t>(1</w:t>
      </w:r>
      <w:r>
        <w:t>) </w:t>
      </w:r>
      <w:bookmarkStart w:id="6" w:name="_Hlk207636253"/>
      <w:r w:rsidRPr="000A22D1">
        <w:t>Elektri- ja elektroonikaseadmete tootja kannab tema tootest tekkinud ning kogumiskohta toodud kodumajapidamiste elektroonikaromude kogumise, töötlemise, taaskasutamise ja keskkonnaohutu kõrvaldamise kulud:</w:t>
      </w:r>
    </w:p>
    <w:p w14:paraId="5E314F68" w14:textId="5283F6F7" w:rsidR="00D044F9" w:rsidRPr="0024671F" w:rsidRDefault="00D044F9" w:rsidP="00D044F9">
      <w:pPr>
        <w:pStyle w:val="muudetavtekstalljoonega"/>
      </w:pPr>
      <w:r>
        <w:t>1) </w:t>
      </w:r>
      <w:r w:rsidRPr="000A22D1">
        <w:t>elektroonikaromude puhul, mis on tekkinud Euroopa Parlamendi ja nõukogu direktiivi 2012/19/EL elektri- ja elektroonikaseadmetest tekkinud jäätmete (elektroonikaromude</w:t>
      </w:r>
      <w:r>
        <w:t>)</w:t>
      </w:r>
      <w:r w:rsidR="00FA3DC1">
        <w:t xml:space="preserve"> </w:t>
      </w:r>
      <w:r w:rsidRPr="000A22D1">
        <w:t>kohta (ELT L</w:t>
      </w:r>
      <w:r w:rsidR="00E07249">
        <w:t xml:space="preserve"> </w:t>
      </w:r>
      <w:r w:rsidRPr="000A22D1">
        <w:t>197, 24.07.2012, lk</w:t>
      </w:r>
      <w:r w:rsidR="00E07249">
        <w:t xml:space="preserve"> </w:t>
      </w:r>
      <w:r w:rsidRPr="000A22D1">
        <w:t>38–71</w:t>
      </w:r>
      <w:r>
        <w:t>)</w:t>
      </w:r>
      <w:r w:rsidR="00FA3DC1">
        <w:t xml:space="preserve"> </w:t>
      </w:r>
      <w:r w:rsidRPr="000A22D1">
        <w:t xml:space="preserve">I lisas sätestatud kategooriatesse kuuluvatest ning pärast </w:t>
      </w:r>
      <w:r w:rsidR="008A341F" w:rsidRPr="00FA3DC1">
        <w:t xml:space="preserve">2005. aasta </w:t>
      </w:r>
      <w:r w:rsidRPr="00FA3DC1">
        <w:t>13.</w:t>
      </w:r>
      <w:r w:rsidR="008A341F" w:rsidRPr="00FA3DC1">
        <w:t xml:space="preserve"> </w:t>
      </w:r>
      <w:r w:rsidRPr="00FA3DC1">
        <w:t>augustit turule lastud elektri- ja elektroonikaseadmetest, välja arvatud päikesepaneelidest;</w:t>
      </w:r>
    </w:p>
    <w:bookmarkEnd w:id="5"/>
    <w:bookmarkEnd w:id="6"/>
    <w:p w14:paraId="3C81CE44" w14:textId="00DE5380" w:rsidR="006F7236" w:rsidRDefault="006F7236" w:rsidP="006F7236">
      <w:pPr>
        <w:pStyle w:val="muudetavtekstalljoonega"/>
      </w:pPr>
      <w:r>
        <w:t>2)</w:t>
      </w:r>
      <w:r w:rsidR="00FA3DC1">
        <w:t> </w:t>
      </w:r>
      <w:r w:rsidRPr="000A22D1">
        <w:t>elektroonikaromude puhul, mis on tekkinud alates 2012. aasta 13.</w:t>
      </w:r>
      <w:r>
        <w:t xml:space="preserve"> </w:t>
      </w:r>
      <w:r w:rsidRPr="000A22D1">
        <w:t>augustist turule lastud päikesepaneelidest;</w:t>
      </w:r>
    </w:p>
    <w:p w14:paraId="5AD2CB7C" w14:textId="6EB5BF7E" w:rsidR="006F7236" w:rsidRDefault="006F7236" w:rsidP="006F7236">
      <w:pPr>
        <w:pStyle w:val="muudetavtekstalljoonega"/>
      </w:pPr>
      <w:r>
        <w:t>3)</w:t>
      </w:r>
      <w:bookmarkStart w:id="7" w:name="_Hlk208483278"/>
      <w:r w:rsidR="00FA3DC1">
        <w:t> </w:t>
      </w:r>
      <w:r w:rsidRPr="000A22D1">
        <w:t>elektroonikaromude puhul, mis on tekkinud Euroopa Parlamendi ja nõukogu direktiivi 2012/19/EL III lisas nimetatud kategooriatesse kuuluvatest ning alates 2018. aasta 15.</w:t>
      </w:r>
      <w:r>
        <w:t xml:space="preserve"> </w:t>
      </w:r>
      <w:r w:rsidRPr="000A22D1">
        <w:t>augustist turule lastud elektri- ja elektroonikaseadmetest, mis ei kuulu nimetatud direktiivi I lisa reguleerimisalasse.</w:t>
      </w:r>
      <w:bookmarkEnd w:id="7"/>
    </w:p>
    <w:p w14:paraId="4211C9AE" w14:textId="5F6A4347" w:rsidR="00D044F9" w:rsidRDefault="00D044F9" w:rsidP="00D044F9">
      <w:pPr>
        <w:pStyle w:val="muudetavtekstalljoonega"/>
      </w:pPr>
      <w:r w:rsidRPr="000A22D1">
        <w:t>(</w:t>
      </w:r>
      <w:bookmarkStart w:id="8" w:name="_Hlk207637604"/>
      <w:r w:rsidRPr="000A22D1">
        <w:t>2</w:t>
      </w:r>
      <w:r>
        <w:t>) </w:t>
      </w:r>
      <w:r w:rsidRPr="000A22D1">
        <w:t>Elektroonikaromu</w:t>
      </w:r>
      <w:r w:rsidR="000C186C">
        <w:t>d</w:t>
      </w:r>
      <w:r w:rsidRPr="000A22D1">
        <w:t xml:space="preserve"> on elektri- ja elektroonikasead</w:t>
      </w:r>
      <w:r w:rsidR="000C186C">
        <w:t>m</w:t>
      </w:r>
      <w:r w:rsidRPr="000A22D1">
        <w:t>e</w:t>
      </w:r>
      <w:r w:rsidR="000C186C">
        <w:t>d</w:t>
      </w:r>
      <w:r w:rsidRPr="000A22D1">
        <w:t>, mis on käesoleva seaduse § 2 lõike</w:t>
      </w:r>
      <w:r w:rsidR="000C186C">
        <w:t> </w:t>
      </w:r>
      <w:r w:rsidRPr="000A22D1">
        <w:t xml:space="preserve">1 tähenduses </w:t>
      </w:r>
      <w:r w:rsidR="0002759C">
        <w:t>jää</w:t>
      </w:r>
      <w:r w:rsidR="00264D63">
        <w:t>tmed</w:t>
      </w:r>
      <w:r w:rsidRPr="000A22D1">
        <w:t xml:space="preserve">, sealhulgas kõik osad, </w:t>
      </w:r>
      <w:proofErr w:type="spellStart"/>
      <w:r w:rsidRPr="000A22D1">
        <w:t>alakoostud</w:t>
      </w:r>
      <w:proofErr w:type="spellEnd"/>
      <w:r w:rsidRPr="000A22D1">
        <w:t xml:space="preserve"> ja tarvikud, mis on toote osad selle kasutuselt kõrvaldamise ajal.</w:t>
      </w:r>
    </w:p>
    <w:p w14:paraId="3F72F93E" w14:textId="212CDF28" w:rsidR="00D044F9" w:rsidRDefault="00D044F9" w:rsidP="00D044F9">
      <w:pPr>
        <w:pStyle w:val="muudetavtekstalljoonega"/>
        <w:rPr>
          <w:strike/>
        </w:rPr>
      </w:pPr>
      <w:r w:rsidRPr="000A22D1">
        <w:t>(3</w:t>
      </w:r>
      <w:r>
        <w:t>) </w:t>
      </w:r>
      <w:r w:rsidRPr="000A22D1">
        <w:t>Kuni 2005. aasta 13. augustini turule lastud</w:t>
      </w:r>
      <w:r w:rsidR="00D84C08">
        <w:t xml:space="preserve"> ning</w:t>
      </w:r>
      <w:r w:rsidRPr="000A22D1">
        <w:t xml:space="preserve"> Euroopa Parlamendi ja nõukogu direktiivi 2012/19/EL I lisas nimetatud kategooriatesse kuuluvatest kodumajapidamiste elektri- ja elektroonikaseadmetest, välja arvatud päikesepaneelidest, tekkinud elektroonikaromude kogumise, töötlemise, taaskasutamise ja keskkonnaohutu kõrvaldamise kulud kannavad ühiselt kõik kodumajapidamiste elektri- ja elektroonikaseadmete tootjad, kes nimetatud kulude tekkimise ajal turul tegutsevad. Tootjad kannavad kulud proportsionaalselt oma turuosaga vastavat liiki elektri- ja elektroonikaseadmete müügi turul.</w:t>
      </w:r>
      <w:bookmarkEnd w:id="8"/>
    </w:p>
    <w:p w14:paraId="38D0A1FB" w14:textId="77777777" w:rsidR="00D044F9" w:rsidRPr="00A76C5C" w:rsidRDefault="00D044F9" w:rsidP="00D044F9">
      <w:pPr>
        <w:pStyle w:val="muudetavtekstalljoonega"/>
        <w:rPr>
          <w:spacing w:val="-2"/>
        </w:rPr>
      </w:pPr>
      <w:bookmarkStart w:id="9" w:name="_Hlk207638794"/>
      <w:r w:rsidRPr="000A22D1">
        <w:t>(4</w:t>
      </w:r>
      <w:r>
        <w:t>)</w:t>
      </w:r>
      <w:r w:rsidRPr="00A76C5C">
        <w:rPr>
          <w:spacing w:val="-2"/>
        </w:rPr>
        <w:t xml:space="preserve"> Elektri- ja elektroonikaseadmete tootjad kannavad muude kasutajate kui kodumajapidamiste elektroonikaromude </w:t>
      </w:r>
      <w:bookmarkStart w:id="10" w:name="_Hlk207642506"/>
      <w:r w:rsidRPr="00A76C5C">
        <w:rPr>
          <w:spacing w:val="-2"/>
        </w:rPr>
        <w:t>kogumise, töötlemise, taaskasutamise ja keskkonnaohutu kõrvaldamise kulud</w:t>
      </w:r>
      <w:bookmarkEnd w:id="10"/>
      <w:r w:rsidRPr="00A76C5C">
        <w:rPr>
          <w:spacing w:val="-2"/>
        </w:rPr>
        <w:t>:</w:t>
      </w:r>
    </w:p>
    <w:p w14:paraId="36E2E796" w14:textId="27556D89" w:rsidR="00D044F9" w:rsidRPr="00C64F95" w:rsidRDefault="00D044F9" w:rsidP="00D044F9">
      <w:pPr>
        <w:pStyle w:val="muudetavtekstalljoonega"/>
      </w:pPr>
      <w:r>
        <w:t>1) </w:t>
      </w:r>
      <w:r w:rsidRPr="000A22D1">
        <w:t xml:space="preserve">elektroonikaromude puhul, mis on tekkinud Euroopa Parlamendi ja nõukogu direktiivi 2012/19/EL I lisas nimetatud kategooriatesse kuuluvatest ning pärast </w:t>
      </w:r>
      <w:r w:rsidR="00AD2001">
        <w:t xml:space="preserve">2005. aasta </w:t>
      </w:r>
      <w:r w:rsidRPr="000A22D1">
        <w:t>13.</w:t>
      </w:r>
      <w:r w:rsidR="00A76C5C">
        <w:t xml:space="preserve"> </w:t>
      </w:r>
      <w:r w:rsidRPr="000A22D1">
        <w:t>augustit turule lastud elektri- ja elektroonikaseadmetest, välja arvatud päikesepaneelidest;</w:t>
      </w:r>
    </w:p>
    <w:bookmarkEnd w:id="9"/>
    <w:p w14:paraId="35F12836" w14:textId="4B730D1F" w:rsidR="00CF5EFE" w:rsidRDefault="00CF5EFE" w:rsidP="00CF5EFE">
      <w:pPr>
        <w:pStyle w:val="muudetavtekstalljoonega"/>
      </w:pPr>
      <w:r>
        <w:t>2)</w:t>
      </w:r>
      <w:r w:rsidR="00FA3DC1">
        <w:t> </w:t>
      </w:r>
      <w:r w:rsidRPr="000A22D1">
        <w:t>elektroonikaromude puhul, mis on tekkinud alates 2012. aasta 13.</w:t>
      </w:r>
      <w:r>
        <w:t xml:space="preserve"> </w:t>
      </w:r>
      <w:r w:rsidRPr="000A22D1">
        <w:t>augustist turule lastud päikesepaneelidest;</w:t>
      </w:r>
      <w:bookmarkStart w:id="11" w:name="_Hlk207643073"/>
    </w:p>
    <w:p w14:paraId="7FA067C5" w14:textId="69BE346B" w:rsidR="00CF5EFE" w:rsidRDefault="00CF5EFE" w:rsidP="00CF5EFE">
      <w:pPr>
        <w:pStyle w:val="muudetavtekstalljoonega"/>
      </w:pPr>
      <w:r>
        <w:lastRenderedPageBreak/>
        <w:t>3)</w:t>
      </w:r>
      <w:r w:rsidR="00FA3DC1">
        <w:t> </w:t>
      </w:r>
      <w:r w:rsidRPr="000A22D1">
        <w:t>elektroonikaromude puhul, mis on tekkinud Euroopa Parlamendi ja nõukogu direktiivi 2012/19/EL III lisas nimetatud kategooriatesse kuuluvatest ning alates 2018. aasta 15.</w:t>
      </w:r>
      <w:r>
        <w:t xml:space="preserve"> </w:t>
      </w:r>
      <w:r w:rsidRPr="000A22D1">
        <w:t>augustist turule lastud elektri- ja elektroonikaseadmetest, mis ei kuulu nimetatud direktiivi I lisa reguleerimisalasse.</w:t>
      </w:r>
      <w:bookmarkEnd w:id="11"/>
    </w:p>
    <w:p w14:paraId="7CB6AE0E" w14:textId="20C1D194" w:rsidR="00D044F9" w:rsidRDefault="00D044F9" w:rsidP="00D044F9">
      <w:pPr>
        <w:pStyle w:val="muudetavtekstalljoonega"/>
      </w:pPr>
      <w:r w:rsidRPr="000A22D1">
        <w:t>(5</w:t>
      </w:r>
      <w:r>
        <w:t>) </w:t>
      </w:r>
      <w:r w:rsidRPr="00FA3DC1">
        <w:rPr>
          <w:spacing w:val="-4"/>
        </w:rPr>
        <w:t xml:space="preserve">Kuni </w:t>
      </w:r>
      <w:bookmarkStart w:id="12" w:name="_Hlk209096379"/>
      <w:r w:rsidRPr="00FA3DC1">
        <w:rPr>
          <w:spacing w:val="-4"/>
        </w:rPr>
        <w:t>2005. aasta 13. augustini turule lastud</w:t>
      </w:r>
      <w:bookmarkStart w:id="13" w:name="_Hlk209017890"/>
      <w:r w:rsidR="00972E25">
        <w:rPr>
          <w:spacing w:val="-4"/>
        </w:rPr>
        <w:t xml:space="preserve"> ning</w:t>
      </w:r>
      <w:r w:rsidRPr="00FA3DC1">
        <w:rPr>
          <w:spacing w:val="-4"/>
        </w:rPr>
        <w:t xml:space="preserve"> Euroopa Parlamendi ja nõukogu direktiivi 2012/19/EL</w:t>
      </w:r>
      <w:r w:rsidR="00A76C5C" w:rsidRPr="00FA3DC1">
        <w:rPr>
          <w:spacing w:val="-4"/>
        </w:rPr>
        <w:t xml:space="preserve"> </w:t>
      </w:r>
      <w:r w:rsidRPr="00FA3DC1">
        <w:rPr>
          <w:spacing w:val="-4"/>
        </w:rPr>
        <w:t>I lisas nimetatud kategooriatesse kuuluvatest muude kasutajate kui kodumajapidamiste</w:t>
      </w:r>
      <w:r w:rsidRPr="000A22D1">
        <w:rPr>
          <w:b/>
          <w:bCs/>
        </w:rPr>
        <w:t xml:space="preserve"> </w:t>
      </w:r>
      <w:r w:rsidRPr="000A22D1">
        <w:t>elektri- ja elektroonikaseadmetest, välja arvatud päikesepaneelidest, mis asendatakse uute samaväärsete või sama funktsiooni täitvate toodetega, tekkinud jäätmete käitlemise kulud kannavad kõnealuse toote tootjad toote tarnimisel.</w:t>
      </w:r>
      <w:bookmarkEnd w:id="12"/>
      <w:bookmarkEnd w:id="13"/>
    </w:p>
    <w:p w14:paraId="07404A59" w14:textId="2F8C0B11" w:rsidR="00D044F9" w:rsidRDefault="00D044F9" w:rsidP="00FA3DC1">
      <w:pPr>
        <w:pStyle w:val="muudetavtekstalljoonega"/>
        <w:widowControl w:val="0"/>
      </w:pPr>
      <w:r w:rsidRPr="000A22D1">
        <w:t>(6</w:t>
      </w:r>
      <w:r>
        <w:t>) </w:t>
      </w:r>
      <w:r w:rsidRPr="000A22D1">
        <w:t>Kuni 2005. aasta 13. augustini turule lastud</w:t>
      </w:r>
      <w:r w:rsidR="001B6F5C">
        <w:t xml:space="preserve"> ning</w:t>
      </w:r>
      <w:r w:rsidRPr="000A22D1">
        <w:t xml:space="preserve"> Euroopa Parlamendi ja nõukogu direktiivi </w:t>
      </w:r>
      <w:r w:rsidRPr="00FA3DC1">
        <w:rPr>
          <w:spacing w:val="-4"/>
        </w:rPr>
        <w:t>2012/19/EL I lisas nimetatud kategooriatesse kuuluvatest muude kasutajate kui kodumajapidamiste elektri- ja elektroonikaseadmetest, välja arvatud päikesepaneelidest, tekkinud muude jäätmete käitlemise kulud kannab jäätmevaldaja.”;</w:t>
      </w:r>
      <w:bookmarkEnd w:id="3"/>
    </w:p>
    <w:p w14:paraId="1AF92A3B" w14:textId="77777777" w:rsidR="00D044F9" w:rsidRPr="00264F97" w:rsidRDefault="00D044F9" w:rsidP="00AA762C">
      <w:pPr>
        <w:pStyle w:val="muutmisksk"/>
      </w:pPr>
      <w:r w:rsidRPr="007960A5">
        <w:rPr>
          <w:b/>
          <w:bCs/>
          <w:u w:val="single"/>
        </w:rPr>
        <w:t>14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5</w:t>
      </w:r>
      <w:r w:rsidRPr="00264F97">
        <w:t xml:space="preserve"> pealkiri muudetakse ja sõnastatakse järgmiselt:</w:t>
      </w:r>
    </w:p>
    <w:p w14:paraId="63D5E842" w14:textId="77777777" w:rsidR="00D044F9" w:rsidRPr="00D044F9" w:rsidRDefault="00D044F9" w:rsidP="00D044F9">
      <w:pPr>
        <w:pStyle w:val="muudetavtekstboldis"/>
        <w:rPr>
          <w:b w:val="0"/>
          <w:bCs/>
        </w:rPr>
      </w:pPr>
      <w:r w:rsidRPr="00D044F9">
        <w:rPr>
          <w:b w:val="0"/>
          <w:bCs/>
        </w:rPr>
        <w:t>”</w:t>
      </w:r>
      <w:r w:rsidRPr="50E9E442">
        <w:t>§ 26</w:t>
      </w:r>
      <w:r w:rsidRPr="50E9E442">
        <w:rPr>
          <w:vertAlign w:val="superscript"/>
        </w:rPr>
        <w:t>5</w:t>
      </w:r>
      <w:r w:rsidRPr="50E9E442">
        <w:t>. Kasutajale info esitamine elektroonikaromude käitluskulude kohta</w:t>
      </w:r>
      <w:r w:rsidRPr="00D044F9">
        <w:rPr>
          <w:b w:val="0"/>
          <w:bCs/>
        </w:rPr>
        <w:t>”;</w:t>
      </w:r>
    </w:p>
    <w:p w14:paraId="203C091D" w14:textId="77777777" w:rsidR="00D044F9" w:rsidRDefault="00D044F9" w:rsidP="00AA762C">
      <w:pPr>
        <w:pStyle w:val="muutmisksk"/>
      </w:pPr>
      <w:r w:rsidRPr="007960A5">
        <w:rPr>
          <w:b/>
          <w:bCs/>
          <w:u w:val="single"/>
        </w:rPr>
        <w:t>15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5</w:t>
      </w:r>
      <w:r w:rsidRPr="00264F97">
        <w:t xml:space="preserve"> lõige 2 tunnistatakse kehtetuk</w:t>
      </w:r>
      <w:r>
        <w:t>s;</w:t>
      </w:r>
    </w:p>
    <w:p w14:paraId="3A366EE8" w14:textId="77777777" w:rsidR="00D044F9" w:rsidRDefault="00D044F9" w:rsidP="00AA762C">
      <w:pPr>
        <w:pStyle w:val="muutmisksk"/>
      </w:pPr>
      <w:r w:rsidRPr="007960A5">
        <w:rPr>
          <w:b/>
          <w:bCs/>
          <w:u w:val="single"/>
        </w:rPr>
        <w:t>16</w:t>
      </w:r>
      <w:r>
        <w:rPr>
          <w:b/>
          <w:bCs/>
        </w:rPr>
        <w:t>)</w:t>
      </w:r>
      <w:r w:rsidRPr="0076219F">
        <w:t> </w:t>
      </w:r>
      <w:r w:rsidRPr="00264F97">
        <w:t>paragrahv 26</w:t>
      </w:r>
      <w:r w:rsidRPr="00264F97">
        <w:rPr>
          <w:vertAlign w:val="superscript"/>
        </w:rPr>
        <w:t>6</w:t>
      </w:r>
      <w:r w:rsidRPr="00D044F9">
        <w:t xml:space="preserve"> </w:t>
      </w:r>
      <w:r w:rsidRPr="00264F97">
        <w:t>tunnistatakse kehtetuks</w:t>
      </w:r>
      <w:r>
        <w:t>;</w:t>
      </w:r>
    </w:p>
    <w:p w14:paraId="55499E29" w14:textId="77777777" w:rsidR="00D044F9" w:rsidRDefault="00D044F9" w:rsidP="00AA762C">
      <w:pPr>
        <w:pStyle w:val="muutmisksk"/>
      </w:pPr>
      <w:r w:rsidRPr="005D427B">
        <w:rPr>
          <w:b/>
          <w:bCs/>
          <w:u w:val="single"/>
        </w:rPr>
        <w:t>17</w:t>
      </w:r>
      <w:r>
        <w:rPr>
          <w:b/>
          <w:bCs/>
        </w:rPr>
        <w:t>)</w:t>
      </w:r>
      <w:r w:rsidRPr="0076219F">
        <w:t> </w:t>
      </w:r>
      <w:r w:rsidRPr="00264F97">
        <w:t>paragrahv</w:t>
      </w:r>
      <w:r>
        <w:t>i</w:t>
      </w:r>
      <w:r w:rsidRPr="00264F97">
        <w:t xml:space="preserve"> 26</w:t>
      </w:r>
      <w:r w:rsidRPr="00264F97">
        <w:rPr>
          <w:vertAlign w:val="superscript"/>
        </w:rPr>
        <w:t>7</w:t>
      </w:r>
      <w:r w:rsidRPr="00264F97">
        <w:t xml:space="preserve"> pealkiri muudetakse ja sõnastatakse järgmiselt:</w:t>
      </w:r>
    </w:p>
    <w:p w14:paraId="0445699C" w14:textId="6FD366B6" w:rsidR="00D044F9" w:rsidRPr="00D044F9" w:rsidRDefault="00D044F9" w:rsidP="00A76C5C">
      <w:pPr>
        <w:pStyle w:val="muudetavtekstboldis"/>
        <w:ind w:left="714" w:hanging="714"/>
        <w:rPr>
          <w:b w:val="0"/>
          <w:bCs/>
        </w:rPr>
      </w:pPr>
      <w:r w:rsidRPr="00D044F9">
        <w:rPr>
          <w:b w:val="0"/>
          <w:bCs/>
        </w:rPr>
        <w:t>”</w:t>
      </w:r>
      <w:r w:rsidRPr="005B4425">
        <w:t>§</w:t>
      </w:r>
      <w:r w:rsidR="00A76C5C">
        <w:t> </w:t>
      </w:r>
      <w:r w:rsidRPr="005B4425">
        <w:t>26</w:t>
      </w:r>
      <w:r w:rsidRPr="005B4425">
        <w:rPr>
          <w:vertAlign w:val="superscript"/>
        </w:rPr>
        <w:t>7</w:t>
      </w:r>
      <w:r w:rsidRPr="005B4425">
        <w:t>.</w:t>
      </w:r>
      <w:r w:rsidR="00A76C5C">
        <w:t> </w:t>
      </w:r>
      <w:r w:rsidRPr="005B4425">
        <w:t xml:space="preserve">Tootja ja </w:t>
      </w:r>
      <w:proofErr w:type="spellStart"/>
      <w:r w:rsidRPr="005B4425">
        <w:t>turustaja</w:t>
      </w:r>
      <w:proofErr w:type="spellEnd"/>
      <w:r w:rsidRPr="005B4425">
        <w:t xml:space="preserve"> kohustused müügikohas elektri- ja elektroonikaseadmest tekkinud jäätmete tagasivõtmisel</w:t>
      </w:r>
      <w:r w:rsidRPr="00D044F9">
        <w:rPr>
          <w:b w:val="0"/>
          <w:bCs/>
        </w:rPr>
        <w:t>”;</w:t>
      </w:r>
    </w:p>
    <w:p w14:paraId="75F1298F" w14:textId="77777777" w:rsidR="00D044F9" w:rsidRDefault="00D044F9" w:rsidP="00AA762C">
      <w:pPr>
        <w:pStyle w:val="muutmisksk"/>
        <w:rPr>
          <w:highlight w:val="yellow"/>
        </w:rPr>
      </w:pPr>
      <w:r w:rsidRPr="005D427B">
        <w:rPr>
          <w:b/>
          <w:bCs/>
          <w:u w:val="single"/>
        </w:rPr>
        <w:t>18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7</w:t>
      </w:r>
      <w:r w:rsidRPr="00264F97">
        <w:t xml:space="preserve"> lõiked 3 ja 4 tunnistatakse kehtetuks</w:t>
      </w:r>
      <w:r>
        <w:t>;</w:t>
      </w:r>
    </w:p>
    <w:p w14:paraId="3FD45360" w14:textId="77777777" w:rsidR="00D044F9" w:rsidRPr="00264F97" w:rsidRDefault="00D044F9" w:rsidP="00AA762C">
      <w:pPr>
        <w:pStyle w:val="muutmisksk"/>
      </w:pPr>
      <w:r w:rsidRPr="005D427B">
        <w:rPr>
          <w:b/>
          <w:bCs/>
          <w:u w:val="single"/>
        </w:rPr>
        <w:t>19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8</w:t>
      </w:r>
      <w:r w:rsidRPr="00264F97">
        <w:t xml:space="preserve"> täiendatakse lõikega 4</w:t>
      </w:r>
      <w:r w:rsidRPr="00264F97">
        <w:rPr>
          <w:vertAlign w:val="superscript"/>
        </w:rPr>
        <w:t>1</w:t>
      </w:r>
      <w:r w:rsidRPr="00264F97">
        <w:t xml:space="preserve"> järgmises sõnastuses:</w:t>
      </w:r>
    </w:p>
    <w:p w14:paraId="4F8F709A" w14:textId="69AB47CC" w:rsidR="00D044F9" w:rsidRDefault="00D044F9" w:rsidP="00D044F9">
      <w:pPr>
        <w:pStyle w:val="muudetavtekst"/>
      </w:pPr>
      <w:r>
        <w:t>”</w:t>
      </w:r>
      <w:r w:rsidRPr="00264F97">
        <w:t>(4</w:t>
      </w:r>
      <w:r w:rsidRPr="00264F97">
        <w:rPr>
          <w:vertAlign w:val="superscript"/>
        </w:rPr>
        <w:t>1</w:t>
      </w:r>
      <w:r>
        <w:t>) </w:t>
      </w:r>
      <w:r w:rsidRPr="00264F97">
        <w:t xml:space="preserve">Patarei ja aku kasutajale kättesaadavaks tehtava teabe loetelu on </w:t>
      </w:r>
      <w:r w:rsidRPr="00BB7841">
        <w:t>esitatud Euroopa Parlamendi ja nõukogu määruse (EL</w:t>
      </w:r>
      <w:r>
        <w:t>)</w:t>
      </w:r>
      <w:r w:rsidR="0076219F">
        <w:t xml:space="preserve"> </w:t>
      </w:r>
      <w:r w:rsidRPr="00BB7841">
        <w:t>2023/1542 III peatükis.</w:t>
      </w:r>
      <w:r>
        <w:t>”</w:t>
      </w:r>
      <w:r w:rsidRPr="00BB7841">
        <w:t>;</w:t>
      </w:r>
    </w:p>
    <w:p w14:paraId="4CDF9EE8" w14:textId="77777777" w:rsidR="00D044F9" w:rsidRDefault="00D044F9" w:rsidP="00AA762C">
      <w:pPr>
        <w:pStyle w:val="muutmisksk"/>
      </w:pPr>
      <w:r w:rsidRPr="005D427B">
        <w:rPr>
          <w:b/>
          <w:bCs/>
          <w:u w:val="single"/>
        </w:rPr>
        <w:t>20</w:t>
      </w:r>
      <w:r>
        <w:rPr>
          <w:b/>
          <w:bCs/>
        </w:rPr>
        <w:t>)</w:t>
      </w:r>
      <w:r w:rsidRPr="0076219F">
        <w:t> </w:t>
      </w:r>
      <w:r>
        <w:t>paragrahvi 26</w:t>
      </w:r>
      <w:r>
        <w:rPr>
          <w:vertAlign w:val="superscript"/>
        </w:rPr>
        <w:t>8</w:t>
      </w:r>
      <w:r>
        <w:t xml:space="preserve"> lõikest 7 </w:t>
      </w:r>
      <w:r w:rsidRPr="00F440C6">
        <w:t>jäetakse välja tekstiosa</w:t>
      </w:r>
      <w:r>
        <w:t>d</w:t>
      </w:r>
      <w:r w:rsidRPr="00F440C6">
        <w:t xml:space="preserve"> </w:t>
      </w:r>
      <w:r>
        <w:t xml:space="preserve">”, </w:t>
      </w:r>
      <w:r w:rsidRPr="00F440C6">
        <w:t>patarei ja aku</w:t>
      </w:r>
      <w:r>
        <w:t>”</w:t>
      </w:r>
      <w:r w:rsidRPr="00F440C6">
        <w:t xml:space="preserve"> ja </w:t>
      </w:r>
      <w:r>
        <w:t xml:space="preserve">”, </w:t>
      </w:r>
      <w:r w:rsidRPr="00F440C6">
        <w:t>patarei- ja akujäätmed</w:t>
      </w:r>
      <w:r>
        <w:t>”</w:t>
      </w:r>
      <w:r w:rsidRPr="00F440C6">
        <w:t>;</w:t>
      </w:r>
    </w:p>
    <w:p w14:paraId="39E017C1" w14:textId="77777777" w:rsidR="00D044F9" w:rsidRPr="00AA762C" w:rsidRDefault="00D044F9" w:rsidP="00AA762C">
      <w:pPr>
        <w:pStyle w:val="muutmisksk"/>
      </w:pPr>
      <w:r w:rsidRPr="00AA762C">
        <w:rPr>
          <w:b/>
          <w:bCs/>
          <w:u w:val="single"/>
        </w:rPr>
        <w:t>21)</w:t>
      </w:r>
      <w:r w:rsidRPr="00AA762C">
        <w:t> paragrahvi 26</w:t>
      </w:r>
      <w:r w:rsidRPr="002E3C13">
        <w:rPr>
          <w:vertAlign w:val="superscript"/>
        </w:rPr>
        <w:t>8</w:t>
      </w:r>
      <w:r w:rsidRPr="00AA762C">
        <w:t xml:space="preserve"> lõige 8 tunnistatakse kehtetuks;</w:t>
      </w:r>
    </w:p>
    <w:p w14:paraId="64FC090C" w14:textId="77777777" w:rsidR="00D044F9" w:rsidRPr="00AA762C" w:rsidRDefault="00D044F9" w:rsidP="00AA762C">
      <w:pPr>
        <w:pStyle w:val="muutmisksk"/>
      </w:pPr>
      <w:r w:rsidRPr="00AA762C">
        <w:rPr>
          <w:b/>
          <w:bCs/>
          <w:u w:val="single"/>
        </w:rPr>
        <w:t>22)</w:t>
      </w:r>
      <w:r w:rsidRPr="00AA762C">
        <w:t> paragrahvi 26</w:t>
      </w:r>
      <w:r w:rsidRPr="002E3C13">
        <w:rPr>
          <w:vertAlign w:val="superscript"/>
        </w:rPr>
        <w:t>8</w:t>
      </w:r>
      <w:r w:rsidRPr="00AA762C">
        <w:t xml:space="preserve"> lõike 9 punktid 2 ja 3 tunnistatakse kehtetuks;</w:t>
      </w:r>
    </w:p>
    <w:p w14:paraId="33F40B92" w14:textId="6B82933C" w:rsidR="00D044F9" w:rsidRDefault="00D044F9" w:rsidP="00AA762C">
      <w:pPr>
        <w:pStyle w:val="muutmiskskalljoonega"/>
      </w:pPr>
      <w:r w:rsidRPr="00CA22A6">
        <w:rPr>
          <w:b/>
          <w:bCs/>
        </w:rPr>
        <w:t>23</w:t>
      </w:r>
      <w:r>
        <w:rPr>
          <w:b/>
          <w:bCs/>
        </w:rPr>
        <w:t>)</w:t>
      </w:r>
      <w:r w:rsidRPr="0076219F">
        <w:t> </w:t>
      </w:r>
      <w:bookmarkStart w:id="14" w:name="_Hlk211875983"/>
      <w:r w:rsidRPr="00151CC0">
        <w:rPr>
          <w:spacing w:val="-2"/>
        </w:rPr>
        <w:t>paragrahvi 26</w:t>
      </w:r>
      <w:r w:rsidRPr="00151CC0">
        <w:rPr>
          <w:spacing w:val="-2"/>
          <w:vertAlign w:val="superscript"/>
        </w:rPr>
        <w:t>17</w:t>
      </w:r>
      <w:r w:rsidRPr="00151CC0">
        <w:rPr>
          <w:spacing w:val="-2"/>
        </w:rPr>
        <w:t xml:space="preserve"> lõikest 1 jäetakse välja tekstiosa ”elektri- ja elektroonikaseadmetest tekkinud</w:t>
      </w:r>
      <w:r w:rsidRPr="00CA22A6">
        <w:t xml:space="preserve"> jäätmete (elektroonikaromude</w:t>
      </w:r>
      <w:r>
        <w:t>)</w:t>
      </w:r>
      <w:r w:rsidR="0076219F">
        <w:t xml:space="preserve"> </w:t>
      </w:r>
      <w:r w:rsidRPr="00CA22A6">
        <w:t>kohta (ELT L</w:t>
      </w:r>
      <w:r w:rsidR="00A76C5C">
        <w:t xml:space="preserve"> </w:t>
      </w:r>
      <w:r w:rsidRPr="00CA22A6">
        <w:t>197, 24.07.2012, lk</w:t>
      </w:r>
      <w:r w:rsidR="00A76C5C">
        <w:t xml:space="preserve"> </w:t>
      </w:r>
      <w:r w:rsidRPr="00CA22A6">
        <w:t>38–71)</w:t>
      </w:r>
      <w:r>
        <w:t>”</w:t>
      </w:r>
      <w:r w:rsidRPr="00CA22A6">
        <w:t>;</w:t>
      </w:r>
      <w:bookmarkEnd w:id="14"/>
    </w:p>
    <w:p w14:paraId="346C9D55" w14:textId="77777777" w:rsidR="00D044F9" w:rsidRPr="00AA762C" w:rsidRDefault="00D044F9" w:rsidP="00AA762C">
      <w:pPr>
        <w:pStyle w:val="muutmisksk"/>
      </w:pPr>
      <w:r w:rsidRPr="00546499">
        <w:rPr>
          <w:b/>
          <w:bCs/>
          <w:u w:val="single"/>
        </w:rPr>
        <w:t>24)</w:t>
      </w:r>
      <w:r w:rsidRPr="00AA762C">
        <w:t> paragrahvi 27 lõike 1 punkt 2 tunnistatakse kehtetuks;</w:t>
      </w:r>
    </w:p>
    <w:p w14:paraId="45DC8FAF" w14:textId="77777777" w:rsidR="00D044F9" w:rsidRDefault="00D044F9" w:rsidP="00AA762C">
      <w:pPr>
        <w:pStyle w:val="muutmisksk"/>
        <w:rPr>
          <w:rStyle w:val="Kommentaariviide"/>
        </w:rPr>
      </w:pPr>
      <w:r w:rsidRPr="005D427B">
        <w:rPr>
          <w:b/>
          <w:bCs/>
          <w:u w:val="single"/>
        </w:rPr>
        <w:t>2</w:t>
      </w:r>
      <w:r>
        <w:rPr>
          <w:b/>
          <w:bCs/>
          <w:u w:val="single"/>
        </w:rPr>
        <w:t>5</w:t>
      </w:r>
      <w:r>
        <w:rPr>
          <w:b/>
          <w:bCs/>
        </w:rPr>
        <w:t>)</w:t>
      </w:r>
      <w:r w:rsidRPr="0076219F">
        <w:t> </w:t>
      </w:r>
      <w:r w:rsidRPr="00264F97">
        <w:t>paragrahvi 29 lõike 4 punkt 8 tunnistatakse kehtetuks</w:t>
      </w:r>
      <w:bookmarkEnd w:id="2"/>
      <w:r>
        <w:t>;</w:t>
      </w:r>
    </w:p>
    <w:p w14:paraId="39810331" w14:textId="77777777" w:rsidR="00D044F9" w:rsidRPr="00AA762C" w:rsidRDefault="00D044F9" w:rsidP="00AA762C">
      <w:pPr>
        <w:pStyle w:val="muutmisksk"/>
      </w:pPr>
      <w:r w:rsidRPr="00546499">
        <w:rPr>
          <w:b/>
          <w:bCs/>
          <w:u w:val="single"/>
        </w:rPr>
        <w:t>26)</w:t>
      </w:r>
      <w:r w:rsidRPr="00AA762C">
        <w:t> paragrahvi 119 täiendatakse lõikega 9</w:t>
      </w:r>
      <w:r w:rsidRPr="002E3C13">
        <w:rPr>
          <w:vertAlign w:val="superscript"/>
        </w:rPr>
        <w:t>2</w:t>
      </w:r>
      <w:r w:rsidRPr="00AA762C">
        <w:t xml:space="preserve"> järgmises sõnastuses:</w:t>
      </w:r>
    </w:p>
    <w:p w14:paraId="256447BE" w14:textId="2EE73A00" w:rsidR="00D044F9" w:rsidRPr="00AA762C" w:rsidRDefault="00D044F9" w:rsidP="00AA762C">
      <w:pPr>
        <w:pStyle w:val="muudetavtekst"/>
      </w:pPr>
      <w:r w:rsidRPr="00AA762C">
        <w:t>”(9</w:t>
      </w:r>
      <w:r w:rsidRPr="002E3C13">
        <w:rPr>
          <w:vertAlign w:val="superscript"/>
        </w:rPr>
        <w:t>2</w:t>
      </w:r>
      <w:r w:rsidRPr="00AA762C">
        <w:t>) Järelevalvet Euroopa Parlamendi ja nõukogu määruse (EL)</w:t>
      </w:r>
      <w:r w:rsidR="00FA3DC1">
        <w:t xml:space="preserve"> </w:t>
      </w:r>
      <w:r w:rsidRPr="00AA762C">
        <w:t>2023/1542 VIII peatüki, mis käsitleb patareisid ja akusid ning patarei- ja akujäätmeid, nõuete täitmise üle teostab Keskkonnaamet.”;</w:t>
      </w:r>
    </w:p>
    <w:p w14:paraId="09DD1DD3" w14:textId="248C5E60" w:rsidR="007B6F6F" w:rsidRDefault="007B6F6F" w:rsidP="007B6F6F">
      <w:pPr>
        <w:pStyle w:val="muutmiskskalljoonega"/>
      </w:pPr>
      <w:bookmarkStart w:id="15" w:name="_Hlk211876344"/>
      <w:r w:rsidRPr="006862F5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7)</w:t>
      </w:r>
      <w:r w:rsidRPr="0076219F">
        <w:rPr>
          <w:color w:val="000000" w:themeColor="text1"/>
        </w:rPr>
        <w:t> </w:t>
      </w:r>
      <w:r w:rsidRPr="006862F5">
        <w:t xml:space="preserve">seaduse normitehnilises märkuses asendatakse tekstiosa </w:t>
      </w:r>
      <w:r>
        <w:t>”</w:t>
      </w:r>
      <w:r w:rsidRPr="006862F5">
        <w:t xml:space="preserve">Euroopa Parlamendi ja nõukogu </w:t>
      </w:r>
      <w:r w:rsidRPr="00084E63">
        <w:rPr>
          <w:spacing w:val="-2"/>
        </w:rPr>
        <w:t>direktiiv 2012/19/EL elektri- ja elektroonikaseadmetest tekkinud jäätmete (elektroonikaromude) kohta (ELT L 197, 24.07.2012, lk 38–71);” tekstiosaga ”Euroopa Parlamendi ja nõukogu direktiiv 2012/19/EL elektri- ja elektroonikaseadmetest tekkinud jäätmete (elektroonikaromude)</w:t>
      </w:r>
      <w:r w:rsidR="00FA3DC1">
        <w:rPr>
          <w:spacing w:val="-2"/>
        </w:rPr>
        <w:t xml:space="preserve"> </w:t>
      </w:r>
      <w:r w:rsidRPr="00084E63">
        <w:rPr>
          <w:spacing w:val="-2"/>
        </w:rPr>
        <w:t xml:space="preserve">kohta </w:t>
      </w:r>
      <w:r w:rsidRPr="00084E63">
        <w:rPr>
          <w:spacing w:val="-2"/>
        </w:rPr>
        <w:lastRenderedPageBreak/>
        <w:t>(ELT L 197, 24.07.2012, lk 38–71),</w:t>
      </w:r>
      <w:r w:rsidRPr="006862F5">
        <w:t xml:space="preserve"> muudetud direktiiviga </w:t>
      </w:r>
      <w:r>
        <w:t xml:space="preserve">(EL) </w:t>
      </w:r>
      <w:r w:rsidRPr="006862F5">
        <w:t>2024/884 (ELT L, 2024/884, 19.03.2024)</w:t>
      </w:r>
      <w:r>
        <w:t>;”</w:t>
      </w:r>
      <w:bookmarkEnd w:id="15"/>
      <w:r w:rsidR="005A3A9E">
        <w:t>;</w:t>
      </w:r>
    </w:p>
    <w:p w14:paraId="13210ECE" w14:textId="2D6DCE06" w:rsidR="00D044F9" w:rsidRDefault="00D044F9" w:rsidP="00AA762C">
      <w:pPr>
        <w:pStyle w:val="muutmisksk"/>
      </w:pPr>
      <w:r w:rsidRPr="005D427B">
        <w:rPr>
          <w:b/>
          <w:bCs/>
          <w:u w:val="single"/>
        </w:rPr>
        <w:t>2</w:t>
      </w:r>
      <w:r w:rsidR="007B6F6F">
        <w:rPr>
          <w:b/>
          <w:bCs/>
          <w:u w:val="single"/>
        </w:rPr>
        <w:t>8</w:t>
      </w:r>
      <w:r>
        <w:rPr>
          <w:b/>
          <w:bCs/>
        </w:rPr>
        <w:t>)</w:t>
      </w:r>
      <w:r w:rsidRPr="0076219F">
        <w:t> </w:t>
      </w:r>
      <w:r w:rsidRPr="007C336F">
        <w:t xml:space="preserve">seaduse normitehnilisest märkusest jäetakse välja tekstiosa </w:t>
      </w:r>
      <w:r>
        <w:t>”</w:t>
      </w:r>
      <w:r w:rsidRPr="007C336F">
        <w:t>Euroopa Parlamendi ja nõukogu direktiiv 2006/66/EÜ, mis käsitleb patareisid ja akusid ning patarei- ja akujäätmeid ning millega tunnistatakse kehtetuks direktiiv 91/157/EMÜ (ELT L 266, 26.09.2006, lk</w:t>
      </w:r>
      <w:r w:rsidR="00A76C5C">
        <w:t xml:space="preserve"> </w:t>
      </w:r>
      <w:r w:rsidRPr="007C336F">
        <w:t>1–14), muudetud direktiividega 2008/12/EÜ (ELT L</w:t>
      </w:r>
      <w:r w:rsidR="00A76C5C">
        <w:t xml:space="preserve"> </w:t>
      </w:r>
      <w:r w:rsidRPr="007C336F">
        <w:t>76, 19.03.2008, lk 39–40</w:t>
      </w:r>
      <w:r>
        <w:t>)</w:t>
      </w:r>
      <w:r w:rsidR="006D480D">
        <w:t xml:space="preserve"> </w:t>
      </w:r>
      <w:r w:rsidRPr="007C336F">
        <w:t xml:space="preserve">ja 2008/103/EÜ </w:t>
      </w:r>
      <w:r w:rsidR="00084E63">
        <w:br/>
      </w:r>
      <w:r w:rsidRPr="007C336F">
        <w:t>(ELT L</w:t>
      </w:r>
      <w:r w:rsidR="00A76C5C">
        <w:t xml:space="preserve"> </w:t>
      </w:r>
      <w:r w:rsidRPr="007C336F">
        <w:t>327, 05.12.2008, lk 7–8);</w:t>
      </w:r>
      <w:r>
        <w:t xml:space="preserve"> </w:t>
      </w:r>
      <w:r w:rsidRPr="007C336F">
        <w:t xml:space="preserve">Euroopa Parlamendi ja nõukogu direktiiv 2013/56/EL, </w:t>
      </w:r>
      <w:r w:rsidRPr="00084E63">
        <w:rPr>
          <w:spacing w:val="-4"/>
        </w:rPr>
        <w:t xml:space="preserve">millega muudetakse patareisid ja akusid ning patarei- ja akujäätmeid käsitlevat Euroopa Parlamendi ja nõukogu direktiivi 2006/66/EÜ seoses kaadmiumi sisaldavate juhtmeta mootortööriistades kasutamiseks ette nähtud kantavate patareide ja akude ning vähese elavhõbedasisaldusega nööpelementide </w:t>
      </w:r>
      <w:proofErr w:type="spellStart"/>
      <w:r w:rsidRPr="00084E63">
        <w:rPr>
          <w:spacing w:val="-4"/>
        </w:rPr>
        <w:t>turulelaskmisega</w:t>
      </w:r>
      <w:proofErr w:type="spellEnd"/>
      <w:r w:rsidRPr="00084E63">
        <w:rPr>
          <w:spacing w:val="-4"/>
        </w:rPr>
        <w:t xml:space="preserve"> ning tunnistatakse kehtetuks komisjoni otsus 2009/603/EÜ </w:t>
      </w:r>
      <w:r w:rsidR="00084E63">
        <w:rPr>
          <w:spacing w:val="-4"/>
        </w:rPr>
        <w:br/>
      </w:r>
      <w:r w:rsidRPr="00084E63">
        <w:rPr>
          <w:spacing w:val="-4"/>
        </w:rPr>
        <w:t>(ELT L</w:t>
      </w:r>
      <w:r w:rsidR="00084E63" w:rsidRPr="00084E63">
        <w:rPr>
          <w:spacing w:val="-4"/>
        </w:rPr>
        <w:t xml:space="preserve"> </w:t>
      </w:r>
      <w:r w:rsidRPr="00084E63">
        <w:rPr>
          <w:spacing w:val="-4"/>
        </w:rPr>
        <w:t>329, 10.12.2013, lk</w:t>
      </w:r>
      <w:r w:rsidR="00084E63" w:rsidRPr="00084E63">
        <w:rPr>
          <w:spacing w:val="-4"/>
        </w:rPr>
        <w:t xml:space="preserve"> </w:t>
      </w:r>
      <w:r w:rsidRPr="00084E63">
        <w:rPr>
          <w:spacing w:val="-4"/>
        </w:rPr>
        <w:t>5–9);”</w:t>
      </w:r>
      <w:r w:rsidR="005A3A9E">
        <w:t>.</w:t>
      </w:r>
    </w:p>
    <w:p w14:paraId="517B045F" w14:textId="77777777" w:rsidR="00D044F9" w:rsidRDefault="00D044F9" w:rsidP="00AA762C">
      <w:pPr>
        <w:pStyle w:val="pealkiri"/>
      </w:pPr>
      <w:r w:rsidRPr="50E9E442">
        <w:t>§ 2. Seaduse jõustumine</w:t>
      </w:r>
    </w:p>
    <w:p w14:paraId="77638028" w14:textId="47522294" w:rsidR="00D044F9" w:rsidRDefault="00D044F9" w:rsidP="00AA762C">
      <w:pPr>
        <w:pStyle w:val="justumisetekst"/>
      </w:pPr>
      <w:r>
        <w:t>(1) </w:t>
      </w:r>
      <w:r w:rsidRPr="00EA054F">
        <w:t xml:space="preserve">Käesoleva seaduse § 1 punkt </w:t>
      </w:r>
      <w:r w:rsidR="00237FDD" w:rsidRPr="00237FDD">
        <w:rPr>
          <w:u w:val="single"/>
        </w:rPr>
        <w:t>5</w:t>
      </w:r>
      <w:r w:rsidRPr="00EA054F">
        <w:t xml:space="preserve"> jõustub 2026. aasta 1. jaanuaril.</w:t>
      </w:r>
    </w:p>
    <w:p w14:paraId="3F3881F5" w14:textId="75E83144" w:rsidR="00D044F9" w:rsidRDefault="00D044F9" w:rsidP="00084E63">
      <w:pPr>
        <w:pStyle w:val="justumisetekst"/>
        <w:spacing w:after="0"/>
      </w:pPr>
      <w:r w:rsidRPr="00264F97">
        <w:t>(</w:t>
      </w:r>
      <w:r>
        <w:t>2) </w:t>
      </w:r>
      <w:r w:rsidRPr="00264F97">
        <w:t xml:space="preserve">Käesoleva seaduse § 1 punkt </w:t>
      </w:r>
      <w:r w:rsidR="000E23D0" w:rsidRPr="000E23D0">
        <w:rPr>
          <w:u w:val="single"/>
        </w:rPr>
        <w:t>3</w:t>
      </w:r>
      <w:r w:rsidRPr="00264F97">
        <w:t xml:space="preserve"> jõustub 2027. aasta 18. veebruaril.</w:t>
      </w:r>
    </w:p>
    <w:p w14:paraId="75DE5E8E" w14:textId="77777777" w:rsidR="00D044F9" w:rsidRDefault="00D044F9" w:rsidP="003F148E">
      <w:bookmarkStart w:id="16" w:name="_Hlk67992359"/>
    </w:p>
    <w:p w14:paraId="2DE8CD3E" w14:textId="77777777" w:rsidR="00084E63" w:rsidRDefault="00084E63" w:rsidP="003F148E"/>
    <w:p w14:paraId="3C1B37D7" w14:textId="77777777" w:rsidR="00084E63" w:rsidRDefault="00084E63" w:rsidP="003F148E"/>
    <w:p w14:paraId="6EDE6385" w14:textId="77777777" w:rsidR="00D044F9" w:rsidRPr="0099319F" w:rsidRDefault="00D044F9" w:rsidP="00084E63">
      <w:pPr>
        <w:pStyle w:val="esimees"/>
      </w:pPr>
      <w:bookmarkStart w:id="17" w:name="_Hlk66788165"/>
      <w:r>
        <w:t xml:space="preserve">Lauri </w:t>
      </w:r>
      <w:proofErr w:type="spellStart"/>
      <w:r>
        <w:t>Hussar</w:t>
      </w:r>
      <w:proofErr w:type="spellEnd"/>
    </w:p>
    <w:p w14:paraId="649CE1EC" w14:textId="77777777" w:rsidR="00D044F9" w:rsidRDefault="00D044F9" w:rsidP="00084E63">
      <w:pPr>
        <w:pStyle w:val="esimees"/>
        <w:rPr>
          <w:rFonts w:eastAsia="Arial Unicode MS"/>
        </w:rPr>
      </w:pPr>
      <w:r w:rsidRPr="0099319F">
        <w:rPr>
          <w:rFonts w:eastAsia="Arial Unicode MS"/>
        </w:rPr>
        <w:t>Riigikogu esimees</w:t>
      </w:r>
    </w:p>
    <w:p w14:paraId="7193F745" w14:textId="77777777" w:rsidR="00D044F9" w:rsidRPr="0099319F" w:rsidRDefault="00D044F9" w:rsidP="003F148E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5481F86B" w14:textId="77777777" w:rsidR="00D044F9" w:rsidRDefault="00D044F9" w:rsidP="00084E63">
      <w:pPr>
        <w:pStyle w:val="vastuvtmisekohajakuupevamrge"/>
        <w:rPr>
          <w:rFonts w:eastAsia="Arial Unicode MS"/>
        </w:rPr>
      </w:pPr>
      <w:r>
        <w:rPr>
          <w:rFonts w:eastAsia="Arial Unicode MS"/>
        </w:rPr>
        <w:t>Tallinn,</w:t>
      </w:r>
      <w:r>
        <w:rPr>
          <w:rFonts w:eastAsia="Arial Unicode MS"/>
        </w:rPr>
        <w:tab/>
      </w:r>
      <w:r>
        <w:rPr>
          <w:rFonts w:eastAsia="Arial Unicode MS"/>
        </w:rPr>
        <w:tab/>
        <w:t>2025</w:t>
      </w:r>
    </w:p>
    <w:p w14:paraId="467BD02F" w14:textId="77777777" w:rsidR="00084E63" w:rsidRPr="00084E63" w:rsidRDefault="00084E63" w:rsidP="00084E63">
      <w:pPr>
        <w:pBdr>
          <w:bottom w:val="single" w:sz="4" w:space="1" w:color="auto"/>
        </w:pBdr>
        <w:rPr>
          <w:lang w:eastAsia="et-EE"/>
        </w:rPr>
      </w:pPr>
    </w:p>
    <w:bookmarkEnd w:id="16"/>
    <w:bookmarkEnd w:id="17"/>
    <w:p w14:paraId="1923FF82" w14:textId="039C6B1F" w:rsidR="00D044F9" w:rsidRDefault="00D044F9" w:rsidP="00084E63">
      <w:pPr>
        <w:pStyle w:val="joonealunemenetlusinfo"/>
      </w:pPr>
      <w:r>
        <w:t xml:space="preserve">Esitab keskkonnakomisjon </w:t>
      </w:r>
      <w:r w:rsidR="00EA6AC5">
        <w:t>0</w:t>
      </w:r>
      <w:r w:rsidR="000E0394">
        <w:t>7.</w:t>
      </w:r>
      <w:r>
        <w:t>11.2025.</w:t>
      </w:r>
    </w:p>
    <w:p w14:paraId="150DE184" w14:textId="77777777" w:rsidR="00D044F9" w:rsidRDefault="00D044F9" w:rsidP="00084E63">
      <w:pPr>
        <w:pStyle w:val="joonealunemenetlusinfo"/>
      </w:pPr>
      <w:r>
        <w:t>Komisjoni ettepanek on teine lugemine lõpetada.</w:t>
      </w:r>
    </w:p>
    <w:p w14:paraId="50913CC6" w14:textId="77777777" w:rsidR="00D044F9" w:rsidRDefault="00D044F9" w:rsidP="003F148E">
      <w:pPr>
        <w:rPr>
          <w:rFonts w:cs="Times New Roman"/>
        </w:rPr>
      </w:pPr>
    </w:p>
    <w:p w14:paraId="6ED55E21" w14:textId="77777777" w:rsidR="00D044F9" w:rsidRDefault="00D044F9" w:rsidP="00084E63">
      <w:pPr>
        <w:pStyle w:val="kinnitatuddigitaalselt"/>
      </w:pPr>
      <w:r>
        <w:t>(kinnitatud digitaalselt)</w:t>
      </w:r>
    </w:p>
    <w:p w14:paraId="0A890EE7" w14:textId="77777777" w:rsidR="00D044F9" w:rsidRDefault="00D044F9" w:rsidP="00084E63">
      <w:pPr>
        <w:pStyle w:val="komisjoniesimehenimi"/>
      </w:pPr>
      <w:r>
        <w:t>Yoko Alender</w:t>
      </w:r>
    </w:p>
    <w:p w14:paraId="470D7195" w14:textId="77777777" w:rsidR="00D044F9" w:rsidRPr="006D480D" w:rsidRDefault="00D044F9" w:rsidP="006D480D">
      <w:r>
        <w:t>Keskkonnakomisjoni esimees</w:t>
      </w:r>
    </w:p>
    <w:sectPr w:rsidR="00D044F9" w:rsidRPr="006D480D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A826" w14:textId="77777777" w:rsidR="00705595" w:rsidRDefault="00705595" w:rsidP="00277BEF">
      <w:r>
        <w:separator/>
      </w:r>
    </w:p>
    <w:p w14:paraId="51DD906C" w14:textId="77777777" w:rsidR="00705595" w:rsidRDefault="00705595"/>
  </w:endnote>
  <w:endnote w:type="continuationSeparator" w:id="0">
    <w:p w14:paraId="0E158121" w14:textId="77777777" w:rsidR="00705595" w:rsidRDefault="00705595" w:rsidP="00277BEF">
      <w:r>
        <w:continuationSeparator/>
      </w:r>
    </w:p>
    <w:p w14:paraId="6A078D1A" w14:textId="77777777" w:rsidR="00705595" w:rsidRDefault="00705595"/>
  </w:endnote>
  <w:endnote w:type="continuationNotice" w:id="1">
    <w:p w14:paraId="75E393C7" w14:textId="77777777" w:rsidR="00705595" w:rsidRDefault="00705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7EB9" w14:textId="77777777" w:rsidR="00705595" w:rsidRDefault="00705595">
      <w:r>
        <w:separator/>
      </w:r>
    </w:p>
  </w:footnote>
  <w:footnote w:type="continuationSeparator" w:id="0">
    <w:p w14:paraId="05416D88" w14:textId="77777777" w:rsidR="00705595" w:rsidRDefault="00705595">
      <w:r>
        <w:continuationSeparator/>
      </w:r>
    </w:p>
  </w:footnote>
  <w:footnote w:type="continuationNotice" w:id="1">
    <w:p w14:paraId="222D4FD1" w14:textId="77777777" w:rsidR="00705595" w:rsidRPr="00904D0D" w:rsidRDefault="00705595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737AD"/>
    <w:multiLevelType w:val="hybridMultilevel"/>
    <w:tmpl w:val="1CA8A59E"/>
    <w:lvl w:ilvl="0" w:tplc="A64662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AC3494"/>
    <w:multiLevelType w:val="hybridMultilevel"/>
    <w:tmpl w:val="1A5EFEF6"/>
    <w:lvl w:ilvl="0" w:tplc="6A1E86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77BD9"/>
    <w:multiLevelType w:val="hybridMultilevel"/>
    <w:tmpl w:val="8F6EE48E"/>
    <w:lvl w:ilvl="0" w:tplc="21147D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911F7"/>
    <w:multiLevelType w:val="hybridMultilevel"/>
    <w:tmpl w:val="18583D96"/>
    <w:lvl w:ilvl="0" w:tplc="C5D40E90">
      <w:start w:val="156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DD753EC"/>
    <w:multiLevelType w:val="hybridMultilevel"/>
    <w:tmpl w:val="E2DA8106"/>
    <w:lvl w:ilvl="0" w:tplc="DB2E0F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839C9"/>
    <w:multiLevelType w:val="hybridMultilevel"/>
    <w:tmpl w:val="139E123E"/>
    <w:lvl w:ilvl="0" w:tplc="89F645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6515AB"/>
    <w:multiLevelType w:val="hybridMultilevel"/>
    <w:tmpl w:val="870EB100"/>
    <w:lvl w:ilvl="0" w:tplc="DB76D3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B3676E"/>
    <w:multiLevelType w:val="hybridMultilevel"/>
    <w:tmpl w:val="154EAE8A"/>
    <w:lvl w:ilvl="0" w:tplc="92FAF7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1433C5"/>
    <w:multiLevelType w:val="hybridMultilevel"/>
    <w:tmpl w:val="B832DA76"/>
    <w:lvl w:ilvl="0" w:tplc="84F644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77ED4"/>
    <w:multiLevelType w:val="hybridMultilevel"/>
    <w:tmpl w:val="7A84BBF4"/>
    <w:lvl w:ilvl="0" w:tplc="06FA19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F02AAD"/>
    <w:multiLevelType w:val="hybridMultilevel"/>
    <w:tmpl w:val="CCA21A98"/>
    <w:lvl w:ilvl="0" w:tplc="76668C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7D37EDC"/>
    <w:multiLevelType w:val="hybridMultilevel"/>
    <w:tmpl w:val="C62E54C0"/>
    <w:lvl w:ilvl="0" w:tplc="893437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E50966"/>
    <w:multiLevelType w:val="hybridMultilevel"/>
    <w:tmpl w:val="804C4EB6"/>
    <w:lvl w:ilvl="0" w:tplc="FF46C64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4E57FA"/>
    <w:multiLevelType w:val="hybridMultilevel"/>
    <w:tmpl w:val="95C2B510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27C79"/>
    <w:multiLevelType w:val="hybridMultilevel"/>
    <w:tmpl w:val="992E05C4"/>
    <w:lvl w:ilvl="0" w:tplc="CDCCC8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36739"/>
    <w:multiLevelType w:val="hybridMultilevel"/>
    <w:tmpl w:val="E0E6702E"/>
    <w:lvl w:ilvl="0" w:tplc="A48277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321B1A"/>
    <w:multiLevelType w:val="hybridMultilevel"/>
    <w:tmpl w:val="18EECA3E"/>
    <w:lvl w:ilvl="0" w:tplc="E312BC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4A2B9C"/>
    <w:multiLevelType w:val="hybridMultilevel"/>
    <w:tmpl w:val="45AA0BDA"/>
    <w:lvl w:ilvl="0" w:tplc="DC4E4B0A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2B1EAB"/>
    <w:multiLevelType w:val="hybridMultilevel"/>
    <w:tmpl w:val="07E09874"/>
    <w:lvl w:ilvl="0" w:tplc="136670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73E1"/>
    <w:multiLevelType w:val="hybridMultilevel"/>
    <w:tmpl w:val="C12410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2707C9"/>
    <w:multiLevelType w:val="hybridMultilevel"/>
    <w:tmpl w:val="3D0A20F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9B4E71"/>
    <w:multiLevelType w:val="hybridMultilevel"/>
    <w:tmpl w:val="B746887A"/>
    <w:lvl w:ilvl="0" w:tplc="ED0EC31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FF4DBB"/>
    <w:multiLevelType w:val="hybridMultilevel"/>
    <w:tmpl w:val="E69EDE00"/>
    <w:lvl w:ilvl="0" w:tplc="D47C1D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2150118">
    <w:abstractNumId w:val="5"/>
  </w:num>
  <w:num w:numId="2" w16cid:durableId="518008690">
    <w:abstractNumId w:val="28"/>
  </w:num>
  <w:num w:numId="3" w16cid:durableId="376391154">
    <w:abstractNumId w:val="24"/>
  </w:num>
  <w:num w:numId="4" w16cid:durableId="1805614474">
    <w:abstractNumId w:val="18"/>
  </w:num>
  <w:num w:numId="5" w16cid:durableId="863442574">
    <w:abstractNumId w:val="1"/>
  </w:num>
  <w:num w:numId="6" w16cid:durableId="587886905">
    <w:abstractNumId w:val="14"/>
  </w:num>
  <w:num w:numId="7" w16cid:durableId="659502019">
    <w:abstractNumId w:val="0"/>
  </w:num>
  <w:num w:numId="8" w16cid:durableId="695229843">
    <w:abstractNumId w:val="26"/>
  </w:num>
  <w:num w:numId="9" w16cid:durableId="1118987183">
    <w:abstractNumId w:val="25"/>
  </w:num>
  <w:num w:numId="10" w16cid:durableId="1623875847">
    <w:abstractNumId w:val="29"/>
  </w:num>
  <w:num w:numId="11" w16cid:durableId="1309214096">
    <w:abstractNumId w:val="13"/>
  </w:num>
  <w:num w:numId="12" w16cid:durableId="250091776">
    <w:abstractNumId w:val="23"/>
  </w:num>
  <w:num w:numId="13" w16cid:durableId="1203054878">
    <w:abstractNumId w:val="4"/>
  </w:num>
  <w:num w:numId="14" w16cid:durableId="2120492850">
    <w:abstractNumId w:val="9"/>
  </w:num>
  <w:num w:numId="15" w16cid:durableId="966662380">
    <w:abstractNumId w:val="17"/>
  </w:num>
  <w:num w:numId="16" w16cid:durableId="792022700">
    <w:abstractNumId w:val="22"/>
  </w:num>
  <w:num w:numId="17" w16cid:durableId="757403706">
    <w:abstractNumId w:val="21"/>
  </w:num>
  <w:num w:numId="18" w16cid:durableId="757025006">
    <w:abstractNumId w:val="20"/>
  </w:num>
  <w:num w:numId="19" w16cid:durableId="2015642969">
    <w:abstractNumId w:val="3"/>
  </w:num>
  <w:num w:numId="20" w16cid:durableId="1241476723">
    <w:abstractNumId w:val="10"/>
  </w:num>
  <w:num w:numId="21" w16cid:durableId="1817339150">
    <w:abstractNumId w:val="12"/>
  </w:num>
  <w:num w:numId="22" w16cid:durableId="1660691292">
    <w:abstractNumId w:val="15"/>
  </w:num>
  <w:num w:numId="23" w16cid:durableId="1698582716">
    <w:abstractNumId w:val="27"/>
  </w:num>
  <w:num w:numId="24" w16cid:durableId="423576250">
    <w:abstractNumId w:val="8"/>
  </w:num>
  <w:num w:numId="25" w16cid:durableId="1621497808">
    <w:abstractNumId w:val="7"/>
  </w:num>
  <w:num w:numId="26" w16cid:durableId="931476389">
    <w:abstractNumId w:val="19"/>
  </w:num>
  <w:num w:numId="27" w16cid:durableId="1879661992">
    <w:abstractNumId w:val="16"/>
  </w:num>
  <w:num w:numId="28" w16cid:durableId="881214213">
    <w:abstractNumId w:val="11"/>
  </w:num>
  <w:num w:numId="29" w16cid:durableId="1030108587">
    <w:abstractNumId w:val="6"/>
  </w:num>
  <w:num w:numId="30" w16cid:durableId="80185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04D6"/>
    <w:rsid w:val="000161C2"/>
    <w:rsid w:val="00025664"/>
    <w:rsid w:val="00025E47"/>
    <w:rsid w:val="0002759C"/>
    <w:rsid w:val="00036E4B"/>
    <w:rsid w:val="00053376"/>
    <w:rsid w:val="00060080"/>
    <w:rsid w:val="00084E63"/>
    <w:rsid w:val="00087AFC"/>
    <w:rsid w:val="00095A57"/>
    <w:rsid w:val="0009735C"/>
    <w:rsid w:val="000B4FD9"/>
    <w:rsid w:val="000C186C"/>
    <w:rsid w:val="000C5428"/>
    <w:rsid w:val="000C5D9D"/>
    <w:rsid w:val="000E0394"/>
    <w:rsid w:val="000E23D0"/>
    <w:rsid w:val="00100904"/>
    <w:rsid w:val="0012468C"/>
    <w:rsid w:val="00136E46"/>
    <w:rsid w:val="00142B57"/>
    <w:rsid w:val="001448B2"/>
    <w:rsid w:val="00151CC0"/>
    <w:rsid w:val="00163E95"/>
    <w:rsid w:val="00166154"/>
    <w:rsid w:val="00180667"/>
    <w:rsid w:val="001B6F5C"/>
    <w:rsid w:val="001C2CC9"/>
    <w:rsid w:val="001C53FB"/>
    <w:rsid w:val="001D0B87"/>
    <w:rsid w:val="001D4F9B"/>
    <w:rsid w:val="001E07B8"/>
    <w:rsid w:val="001F4033"/>
    <w:rsid w:val="00203A90"/>
    <w:rsid w:val="00214D1C"/>
    <w:rsid w:val="002330C3"/>
    <w:rsid w:val="00237FDD"/>
    <w:rsid w:val="00240128"/>
    <w:rsid w:val="002411BB"/>
    <w:rsid w:val="00246ED9"/>
    <w:rsid w:val="00264D63"/>
    <w:rsid w:val="00277BEF"/>
    <w:rsid w:val="0028170C"/>
    <w:rsid w:val="002C1867"/>
    <w:rsid w:val="002C5247"/>
    <w:rsid w:val="002D3BEC"/>
    <w:rsid w:val="002E3C13"/>
    <w:rsid w:val="00302887"/>
    <w:rsid w:val="00310816"/>
    <w:rsid w:val="00311679"/>
    <w:rsid w:val="003153C8"/>
    <w:rsid w:val="003154C5"/>
    <w:rsid w:val="003161F9"/>
    <w:rsid w:val="00320E3E"/>
    <w:rsid w:val="00327C77"/>
    <w:rsid w:val="003316C1"/>
    <w:rsid w:val="00335B6C"/>
    <w:rsid w:val="00345FBA"/>
    <w:rsid w:val="003612C2"/>
    <w:rsid w:val="003A02D9"/>
    <w:rsid w:val="003C6CB5"/>
    <w:rsid w:val="003D2D40"/>
    <w:rsid w:val="003F2C07"/>
    <w:rsid w:val="004048A9"/>
    <w:rsid w:val="00436336"/>
    <w:rsid w:val="00450F24"/>
    <w:rsid w:val="004540AA"/>
    <w:rsid w:val="00464630"/>
    <w:rsid w:val="00490BE3"/>
    <w:rsid w:val="004A47B3"/>
    <w:rsid w:val="004A743E"/>
    <w:rsid w:val="004B2F73"/>
    <w:rsid w:val="004B49CF"/>
    <w:rsid w:val="004B524D"/>
    <w:rsid w:val="004B738D"/>
    <w:rsid w:val="004C2F84"/>
    <w:rsid w:val="004D5107"/>
    <w:rsid w:val="005141B6"/>
    <w:rsid w:val="00524A88"/>
    <w:rsid w:val="005276ED"/>
    <w:rsid w:val="00536A44"/>
    <w:rsid w:val="005409F1"/>
    <w:rsid w:val="00546499"/>
    <w:rsid w:val="005937C0"/>
    <w:rsid w:val="00596E48"/>
    <w:rsid w:val="005A3A9E"/>
    <w:rsid w:val="005B1EAA"/>
    <w:rsid w:val="005C17CC"/>
    <w:rsid w:val="005D06FE"/>
    <w:rsid w:val="006052BF"/>
    <w:rsid w:val="00613816"/>
    <w:rsid w:val="00627EA7"/>
    <w:rsid w:val="00631B74"/>
    <w:rsid w:val="00633B51"/>
    <w:rsid w:val="006537C4"/>
    <w:rsid w:val="00666224"/>
    <w:rsid w:val="00667D6A"/>
    <w:rsid w:val="00685FFC"/>
    <w:rsid w:val="006B4BEC"/>
    <w:rsid w:val="006D480D"/>
    <w:rsid w:val="006F262D"/>
    <w:rsid w:val="006F7236"/>
    <w:rsid w:val="00700EFC"/>
    <w:rsid w:val="00705595"/>
    <w:rsid w:val="00705973"/>
    <w:rsid w:val="007128A2"/>
    <w:rsid w:val="00716A0E"/>
    <w:rsid w:val="00733691"/>
    <w:rsid w:val="00750DFC"/>
    <w:rsid w:val="0076219F"/>
    <w:rsid w:val="00773683"/>
    <w:rsid w:val="00787813"/>
    <w:rsid w:val="007A434A"/>
    <w:rsid w:val="007B2C3F"/>
    <w:rsid w:val="007B6F6F"/>
    <w:rsid w:val="007C225B"/>
    <w:rsid w:val="007F0142"/>
    <w:rsid w:val="0080326F"/>
    <w:rsid w:val="00812B4F"/>
    <w:rsid w:val="00823856"/>
    <w:rsid w:val="00835B32"/>
    <w:rsid w:val="008416B0"/>
    <w:rsid w:val="00887CE2"/>
    <w:rsid w:val="00896E25"/>
    <w:rsid w:val="008A00B2"/>
    <w:rsid w:val="008A106F"/>
    <w:rsid w:val="008A341F"/>
    <w:rsid w:val="008B3445"/>
    <w:rsid w:val="008C1D55"/>
    <w:rsid w:val="008C5790"/>
    <w:rsid w:val="008D44B3"/>
    <w:rsid w:val="008E272A"/>
    <w:rsid w:val="008E36C9"/>
    <w:rsid w:val="008F2828"/>
    <w:rsid w:val="00904D0D"/>
    <w:rsid w:val="00910BB4"/>
    <w:rsid w:val="00925FDD"/>
    <w:rsid w:val="00932B2B"/>
    <w:rsid w:val="00950E0F"/>
    <w:rsid w:val="009542A8"/>
    <w:rsid w:val="00972E25"/>
    <w:rsid w:val="00990C1E"/>
    <w:rsid w:val="00992779"/>
    <w:rsid w:val="009B30E3"/>
    <w:rsid w:val="009B737E"/>
    <w:rsid w:val="009E7A1F"/>
    <w:rsid w:val="009F3851"/>
    <w:rsid w:val="00A01CC7"/>
    <w:rsid w:val="00A039DA"/>
    <w:rsid w:val="00A06943"/>
    <w:rsid w:val="00A211F9"/>
    <w:rsid w:val="00A21205"/>
    <w:rsid w:val="00A221BB"/>
    <w:rsid w:val="00A26FED"/>
    <w:rsid w:val="00A31FA8"/>
    <w:rsid w:val="00A440B5"/>
    <w:rsid w:val="00A52B40"/>
    <w:rsid w:val="00A53892"/>
    <w:rsid w:val="00A668ED"/>
    <w:rsid w:val="00A70AC3"/>
    <w:rsid w:val="00A76C5C"/>
    <w:rsid w:val="00A815C8"/>
    <w:rsid w:val="00A82832"/>
    <w:rsid w:val="00A95ACE"/>
    <w:rsid w:val="00AA58AD"/>
    <w:rsid w:val="00AA762C"/>
    <w:rsid w:val="00AB2A46"/>
    <w:rsid w:val="00AD2001"/>
    <w:rsid w:val="00AF505A"/>
    <w:rsid w:val="00AF7EC4"/>
    <w:rsid w:val="00B007B6"/>
    <w:rsid w:val="00B078A8"/>
    <w:rsid w:val="00B151C0"/>
    <w:rsid w:val="00B47482"/>
    <w:rsid w:val="00B51DF9"/>
    <w:rsid w:val="00B62C40"/>
    <w:rsid w:val="00B62F07"/>
    <w:rsid w:val="00B65931"/>
    <w:rsid w:val="00B6641A"/>
    <w:rsid w:val="00B866CA"/>
    <w:rsid w:val="00B9645F"/>
    <w:rsid w:val="00BB5595"/>
    <w:rsid w:val="00BC7F4C"/>
    <w:rsid w:val="00BE515B"/>
    <w:rsid w:val="00C10776"/>
    <w:rsid w:val="00C358DC"/>
    <w:rsid w:val="00C45A5E"/>
    <w:rsid w:val="00C4739B"/>
    <w:rsid w:val="00C5554E"/>
    <w:rsid w:val="00C57A01"/>
    <w:rsid w:val="00C76264"/>
    <w:rsid w:val="00C94992"/>
    <w:rsid w:val="00CA2AEC"/>
    <w:rsid w:val="00CA47EE"/>
    <w:rsid w:val="00CF23D9"/>
    <w:rsid w:val="00CF5EFE"/>
    <w:rsid w:val="00D044F9"/>
    <w:rsid w:val="00D051DF"/>
    <w:rsid w:val="00D1492F"/>
    <w:rsid w:val="00D23AD7"/>
    <w:rsid w:val="00D26EFF"/>
    <w:rsid w:val="00D32E7E"/>
    <w:rsid w:val="00D64B62"/>
    <w:rsid w:val="00D65051"/>
    <w:rsid w:val="00D84C08"/>
    <w:rsid w:val="00D921BD"/>
    <w:rsid w:val="00D943B7"/>
    <w:rsid w:val="00DB19BD"/>
    <w:rsid w:val="00DB2B5D"/>
    <w:rsid w:val="00DD0A81"/>
    <w:rsid w:val="00DE5CB8"/>
    <w:rsid w:val="00DF6EE4"/>
    <w:rsid w:val="00E07249"/>
    <w:rsid w:val="00E1153C"/>
    <w:rsid w:val="00E22D1B"/>
    <w:rsid w:val="00E23640"/>
    <w:rsid w:val="00E23728"/>
    <w:rsid w:val="00E26744"/>
    <w:rsid w:val="00E456F8"/>
    <w:rsid w:val="00E6632F"/>
    <w:rsid w:val="00E833EC"/>
    <w:rsid w:val="00E915C7"/>
    <w:rsid w:val="00EA6AC5"/>
    <w:rsid w:val="00EB6BCF"/>
    <w:rsid w:val="00EC4E11"/>
    <w:rsid w:val="00ED6D8B"/>
    <w:rsid w:val="00EE3339"/>
    <w:rsid w:val="00EE3D55"/>
    <w:rsid w:val="00EF314E"/>
    <w:rsid w:val="00F12CA2"/>
    <w:rsid w:val="00F56661"/>
    <w:rsid w:val="00F647AA"/>
    <w:rsid w:val="00F678CB"/>
    <w:rsid w:val="00F74522"/>
    <w:rsid w:val="00F81C0E"/>
    <w:rsid w:val="00F81C98"/>
    <w:rsid w:val="00FA3D46"/>
    <w:rsid w:val="00FA3DC1"/>
    <w:rsid w:val="00FB0091"/>
    <w:rsid w:val="00FB389A"/>
    <w:rsid w:val="00FD0327"/>
    <w:rsid w:val="00FD6869"/>
    <w:rsid w:val="00FE0E2D"/>
    <w:rsid w:val="00FE3CA0"/>
    <w:rsid w:val="00FE6CD4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AA762C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qFormat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51DF9"/>
    <w:rPr>
      <w:kern w:val="0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6E4B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036E4B"/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HTML-eelvormindatudMrk1">
    <w:name w:val="HTML-eelvormindatud Märk1"/>
    <w:basedOn w:val="Liguvaikefont"/>
    <w:link w:val="HTML-eelvormindatud"/>
    <w:uiPriority w:val="99"/>
    <w:semiHidden/>
    <w:locked/>
    <w:rsid w:val="00036E4B"/>
    <w:rPr>
      <w:rFonts w:ascii="Courier New" w:hAnsi="Courier New" w:cs="Courier New"/>
      <w:sz w:val="20"/>
      <w:szCs w:val="20"/>
      <w:lang w:val="x-none" w:eastAsia="et-EE"/>
    </w:rPr>
  </w:style>
  <w:style w:type="paragraph" w:styleId="HTML-eelvormindatud">
    <w:name w:val="HTML Preformatted"/>
    <w:basedOn w:val="Normaallaad"/>
    <w:link w:val="HTML-eelvormindatudMrk1"/>
    <w:uiPriority w:val="99"/>
    <w:semiHidden/>
    <w:unhideWhenUsed/>
    <w:rsid w:val="00036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2"/>
      <w:sz w:val="20"/>
      <w:szCs w:val="20"/>
      <w:lang w:val="x-none" w:eastAsia="et-EE"/>
      <w14:ligatures w14:val="standardContextual"/>
    </w:rPr>
  </w:style>
  <w:style w:type="character" w:customStyle="1" w:styleId="HTML-eelvormindatudMrk">
    <w:name w:val="HTML-eelvormindatud Märk"/>
    <w:basedOn w:val="Liguvaikefont"/>
    <w:uiPriority w:val="99"/>
    <w:semiHidden/>
    <w:rsid w:val="00036E4B"/>
    <w:rPr>
      <w:rFonts w:ascii="Consolas" w:hAnsi="Consolas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5">
    <w:name w:val="HTML Preformatted Char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4">
    <w:name w:val="HTML Preformatted Char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3">
    <w:name w:val="HTML Preformatted Char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8">
    <w:name w:val="HTML-eelvormindatud Märk3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7">
    <w:name w:val="HTML-eelvormindatud Märk3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6">
    <w:name w:val="HTML-eelvormindatud Märk3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5">
    <w:name w:val="HTML-eelvormindatud Märk3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4">
    <w:name w:val="HTML-eelvormindatud Märk3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3">
    <w:name w:val="HTML-eelvormindatud Märk3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2">
    <w:name w:val="HTML-eelvormindatud Märk3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1">
    <w:name w:val="HTML-eelvormindatud Märk3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0">
    <w:name w:val="HTML-eelvormindatud Märk30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9">
    <w:name w:val="HTML-eelvormindatud Märk29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8">
    <w:name w:val="HTML-eelvormindatud Märk2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7">
    <w:name w:val="HTML-eelvormindatud Märk2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6">
    <w:name w:val="HTML-eelvormindatud Märk2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5">
    <w:name w:val="HTML-eelvormindatud Märk2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4">
    <w:name w:val="HTML-eelvormindatud Märk2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3">
    <w:name w:val="HTML-eelvormindatud Märk2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2">
    <w:name w:val="HTML-eelvormindatud Märk2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1">
    <w:name w:val="HTML-eelvormindatud Märk2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0">
    <w:name w:val="HTML-eelvormindatud Märk20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9">
    <w:name w:val="HTML-eelvormindatud Märk19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8">
    <w:name w:val="HTML-eelvormindatud Märk1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7">
    <w:name w:val="HTML-eelvormindatud Märk1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6">
    <w:name w:val="HTML-eelvormindatud Märk1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5">
    <w:name w:val="HTML-eelvormindatud Märk1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4">
    <w:name w:val="HTML-eelvormindatud Märk1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3">
    <w:name w:val="HTML-eelvormindatud Märk1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2">
    <w:name w:val="HTML-eelvormindatud Märk1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1">
    <w:name w:val="HTML-eelvormindatud Märk1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0">
    <w:name w:val="HTML-eelvormindatud Märk10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9">
    <w:name w:val="HTML-eelvormindatud Märk9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8">
    <w:name w:val="HTML-eelvormindatud Märk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7">
    <w:name w:val="HTML-eelvormindatud Märk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6">
    <w:name w:val="HTML-eelvormindatud Märk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5">
    <w:name w:val="HTML-eelvormindatud Märk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4">
    <w:name w:val="HTML-eelvormindatud Märk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">
    <w:name w:val="HTML-eelvormindatud Märk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">
    <w:name w:val="HTML-eelvormindatud Märk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4">
    <w:name w:val="HTML Preformatted Char1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3">
    <w:name w:val="HTML Preformatted Char1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2">
    <w:name w:val="HTML Preformatted Char1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1">
    <w:name w:val="HTML Preformatted Char11"/>
    <w:basedOn w:val="Liguvaikefont"/>
    <w:uiPriority w:val="99"/>
    <w:semiHidden/>
    <w:rsid w:val="00036E4B"/>
    <w:rPr>
      <w:rFonts w:ascii="Consolas" w:hAnsi="Consolas" w:cs="Times New Roman"/>
      <w:sz w:val="20"/>
      <w:szCs w:val="20"/>
    </w:rPr>
  </w:style>
  <w:style w:type="paragraph" w:customStyle="1" w:styleId="Heading">
    <w:name w:val="Heading"/>
    <w:basedOn w:val="Normaallaad"/>
    <w:next w:val="Normaallaad"/>
    <w:rsid w:val="00036E4B"/>
    <w:pPr>
      <w:overflowPunct w:val="0"/>
      <w:autoSpaceDE w:val="0"/>
      <w:autoSpaceDN w:val="0"/>
      <w:adjustRightInd w:val="0"/>
      <w:ind w:right="5239"/>
    </w:pPr>
    <w:rPr>
      <w:rFonts w:eastAsia="Times New Roman" w:cs="Times New Roman"/>
      <w:b/>
      <w:bCs/>
      <w:lang w:eastAsia="et-EE"/>
    </w:rPr>
  </w:style>
  <w:style w:type="table" w:styleId="Kontuurtabel">
    <w:name w:val="Table Grid"/>
    <w:basedOn w:val="Normaaltabel"/>
    <w:uiPriority w:val="59"/>
    <w:rsid w:val="00036E4B"/>
    <w:pPr>
      <w:jc w:val="left"/>
    </w:pPr>
    <w:rPr>
      <w:rFonts w:asciiTheme="minorHAnsi" w:eastAsia="Times New Roman" w:hAnsiTheme="minorHAns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1505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Vivi Older</cp:lastModifiedBy>
  <cp:revision>5</cp:revision>
  <cp:lastPrinted>2025-10-27T12:11:00Z</cp:lastPrinted>
  <dcterms:created xsi:type="dcterms:W3CDTF">2025-11-06T08:34:00Z</dcterms:created>
  <dcterms:modified xsi:type="dcterms:W3CDTF">2025-11-06T14:59:00Z</dcterms:modified>
</cp:coreProperties>
</file>