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917A" w14:textId="77777777" w:rsidR="006109D0" w:rsidRPr="002A01A3" w:rsidRDefault="006109D0" w:rsidP="000D5736">
      <w:pPr>
        <w:pStyle w:val="eelnumrge"/>
      </w:pPr>
      <w:r w:rsidRPr="002A01A3">
        <w:t>Teine lugemine</w:t>
      </w:r>
    </w:p>
    <w:p w14:paraId="38E48C15" w14:textId="767A3424" w:rsidR="006109D0" w:rsidRPr="000D5736" w:rsidRDefault="006109D0" w:rsidP="000D5736">
      <w:pPr>
        <w:pStyle w:val="eelnunumber"/>
        <w:spacing w:before="0"/>
        <w:ind w:left="7080"/>
        <w:jc w:val="right"/>
      </w:pPr>
      <w:r>
        <w:t>19</w:t>
      </w:r>
      <w:r w:rsidRPr="002A01A3">
        <w:t>.</w:t>
      </w:r>
      <w:r>
        <w:t>03</w:t>
      </w:r>
      <w:r w:rsidRPr="002A01A3">
        <w:t>.20</w:t>
      </w:r>
      <w:r>
        <w:t>25</w:t>
      </w:r>
    </w:p>
    <w:p w14:paraId="32DEC823" w14:textId="40ABF73F" w:rsidR="006109D0" w:rsidRPr="00A47D18" w:rsidRDefault="006109D0" w:rsidP="006109D0">
      <w:pPr>
        <w:pStyle w:val="eelnunumber"/>
        <w:rPr>
          <w:b/>
          <w:sz w:val="72"/>
          <w:szCs w:val="72"/>
        </w:rPr>
      </w:pPr>
      <w:r w:rsidRPr="00A47D18"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>31</w:t>
      </w:r>
      <w:r w:rsidRPr="00A47D18">
        <w:rPr>
          <w:b/>
          <w:sz w:val="72"/>
          <w:szCs w:val="72"/>
        </w:rPr>
        <w:t xml:space="preserve"> SE II</w:t>
      </w:r>
    </w:p>
    <w:p w14:paraId="27B0BDA2" w14:textId="77777777" w:rsidR="006109D0" w:rsidRDefault="006109D0" w:rsidP="006109D0">
      <w:pPr>
        <w:pStyle w:val="mrgeRiigikoguotsus"/>
        <w:spacing w:before="0" w:after="0"/>
      </w:pPr>
      <w:r>
        <w:t>Muudatusettepanekute loetelu</w:t>
      </w:r>
    </w:p>
    <w:p w14:paraId="20FC70A2" w14:textId="0DC616F0" w:rsidR="006109D0" w:rsidRPr="001862C1" w:rsidRDefault="00336C65" w:rsidP="006109D0">
      <w:pPr>
        <w:pStyle w:val="mrgeRiigikoguotsus"/>
        <w:spacing w:before="0" w:after="0"/>
      </w:pPr>
      <w:r>
        <w:t>e</w:t>
      </w:r>
      <w:r w:rsidR="006109D0">
        <w:t>hitusseadustiku, halduskoostöö seaduse ja veeseaduse muutmise seaduse eelnõu teiseks lugemiseks</w:t>
      </w:r>
    </w:p>
    <w:p w14:paraId="0F79B678" w14:textId="77777777" w:rsidR="006109D0" w:rsidRDefault="006109D0" w:rsidP="006109D0">
      <w:pPr>
        <w:rPr>
          <w:rFonts w:ascii="Times New Roman" w:hAnsi="Times New Roman" w:cs="Times New Roman"/>
          <w:b/>
          <w:sz w:val="32"/>
          <w:szCs w:val="32"/>
        </w:rPr>
      </w:pPr>
    </w:p>
    <w:p w14:paraId="52B1AFCB" w14:textId="0AC6C74C" w:rsidR="00441610" w:rsidRPr="00441610" w:rsidRDefault="00441610" w:rsidP="00441610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DD1D48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40"/>
          <w:szCs w:val="40"/>
          <w:lang w:eastAsia="et-EE"/>
          <w14:ligatures w14:val="none"/>
        </w:rPr>
        <w:t>1.</w:t>
      </w:r>
      <w:r w:rsidRPr="00441610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441610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Täiendada eelnõu § 1 punktiga 9 järgmise</w:t>
      </w:r>
      <w:r w:rsidR="006D5A1B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s sõnastuses</w:t>
      </w:r>
      <w:r w:rsidRPr="00441610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:</w:t>
      </w:r>
    </w:p>
    <w:p w14:paraId="380F2275" w14:textId="77777777" w:rsidR="006D5A1B" w:rsidRDefault="006D5A1B" w:rsidP="00441610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</w:pPr>
    </w:p>
    <w:p w14:paraId="05B1DE5C" w14:textId="06D86E61" w:rsidR="00441610" w:rsidRPr="00441610" w:rsidRDefault="00441610" w:rsidP="00C86B2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441610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„9) </w:t>
      </w:r>
      <w:r w:rsidRPr="00441610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paragrahvi 126 lõike 6 punkt 2 muudetakse ja sõnastatakse järgmiselt:</w:t>
      </w:r>
    </w:p>
    <w:p w14:paraId="13AC1A35" w14:textId="57912C20" w:rsidR="00441610" w:rsidRPr="00441610" w:rsidRDefault="006D5A1B" w:rsidP="00C86B2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„</w:t>
      </w:r>
      <w:r w:rsidR="00441610" w:rsidRPr="00441610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2) puurkaevu ja -augu rajamise, ümberehitamise</w:t>
      </w:r>
      <w:r w:rsidR="00557A02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ja</w:t>
      </w:r>
      <w:r w:rsidR="00441610" w:rsidRPr="00441610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lammutamise</w:t>
      </w:r>
      <w:r w:rsidR="00557A02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nõuded ning nõuded</w:t>
      </w:r>
      <w:r w:rsidR="00441610" w:rsidRPr="00441610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ehitusprojekti</w:t>
      </w:r>
      <w:r w:rsidR="00557A02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le</w:t>
      </w:r>
      <w:r w:rsidR="00441610" w:rsidRPr="00441610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, konstruktsiooni</w:t>
      </w:r>
      <w:r w:rsidR="00557A02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le</w:t>
      </w:r>
      <w:r w:rsidR="00441610" w:rsidRPr="00441610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ja puurimismeetodi</w:t>
      </w:r>
      <w:r w:rsidR="00557A02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le</w:t>
      </w:r>
      <w:r w:rsidR="00441610" w:rsidRPr="00441610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;“</w:t>
      </w:r>
      <w:r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“</w:t>
      </w:r>
    </w:p>
    <w:p w14:paraId="020DB74A" w14:textId="77777777" w:rsidR="006D5A1B" w:rsidRDefault="006D5A1B" w:rsidP="00C86B21">
      <w:pPr>
        <w:spacing w:after="0" w:line="240" w:lineRule="auto"/>
        <w:jc w:val="both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</w:p>
    <w:p w14:paraId="40CB4292" w14:textId="73A20B16" w:rsidR="00441610" w:rsidRPr="00441610" w:rsidRDefault="00441610" w:rsidP="00C86B21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  <w:r w:rsidRPr="00441610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0"/>
          <w:sz w:val="24"/>
          <w:szCs w:val="24"/>
          <w:lang w:eastAsia="et-EE"/>
          <w14:ligatures w14:val="none"/>
        </w:rPr>
        <w:t>Selgitus</w:t>
      </w:r>
      <w:r w:rsidRPr="00441610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: </w:t>
      </w:r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OÜ Balti Puurkaev on esitanud Riigikogule Soraineni advokaadibüroo analüüsi, milles leitakse, et eelnõus 531 SE kavandatud ehitusseadustiku (edaspidi </w:t>
      </w:r>
      <w:proofErr w:type="spellStart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EhS</w:t>
      </w:r>
      <w:proofErr w:type="spellEnd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) § 126 täiendamine lõikega 4</w:t>
      </w:r>
      <w:r w:rsidR="00A5729C" w:rsidRPr="00A5729C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, mille p 3 (</w:t>
      </w:r>
      <w:r w:rsidR="00A5729C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eelnõu </w:t>
      </w:r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§ 1 p 8) kohaselt kohalik omavalitsus (edaspidi KOV) võib keelduda kaevu puurimiseks ehitusloa andmisest, kui puurkaevu või -augu ehitusprojektikohane sügavus, konstruktsioon või puurimismeetod ei taga põhjavee kaitse nõuete täitmist, ei ole kooskõlas põhiseadusega ja rikub puurimisfirmade ettevõtlusvabadust ja omandipõhiõigust. Eesti õigusaktides ei ole reguleeritud puurimismeetodit ja kehtiva </w:t>
      </w:r>
      <w:proofErr w:type="spellStart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EhS</w:t>
      </w:r>
      <w:proofErr w:type="spellEnd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volitusnorm ei anna võimalust puurimismeetodit kehtestada.</w:t>
      </w:r>
      <w:r w:rsidR="00A5729C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Analüüsis tehti ettepanek täiendada ehitusseadustiku volitusnormi ja täiendada keskkonnaministri 09.07.2015 määrust nr 43 „Nõuded salvkaevu konstruktsiooni, puurkaevu või -augu ehitusprojekti ja konstruktsiooni ning lammutamise ja ümberehitamise ehitusprojekti kohta, puurkaevu või -augu projekteerimise, rajamise, kasutusele võtmise, ümberehitamise, lammutamise ja konserveerimise korra ning puurkaevu või -augu asukoha kooskõlastamise, ehitusloa ja kasutusloa taotluste, ehitus- või kasutusteatise, puurimispäeviku, salvkaevu ehitus- või kasutusteatise, puurkaevu või - augu ja salvkaevu andmete keskkonnaregistrisse kandmiseks esitamise ning puurkaevu või -augu</w:t>
      </w:r>
      <w:r w:rsidR="00A5729C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ja salvkaevu lammutamise teatise vormid“ (edaspidi määrus nr 43) nõuetega puurimismeetodite kohta.</w:t>
      </w:r>
    </w:p>
    <w:p w14:paraId="4D56DAC9" w14:textId="5604DB37" w:rsidR="00441610" w:rsidRPr="00441610" w:rsidRDefault="00441610" w:rsidP="00C86B21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Seoses vajadusega luua selles valdkonnas suurem õigusselgus ja ühtne arusaam sobivatest puurimismeetoditest, et tagada põhjavee kaitse puurkaevu puurimise ajal, muudetakse </w:t>
      </w:r>
      <w:proofErr w:type="spellStart"/>
      <w:r w:rsidR="00C42069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EhS</w:t>
      </w:r>
      <w:proofErr w:type="spellEnd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§ 126 lg 6 </w:t>
      </w:r>
      <w:r w:rsidR="00C42069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sätestatud volitusnormi selliselt</w:t>
      </w:r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, et oleks võimalik täiendada keskkonnaministri määrust nr 43 ja kehtestada volitusnormis kavandatud nõuded.</w:t>
      </w:r>
      <w:r w:rsidR="00C42069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Kehtiv </w:t>
      </w:r>
      <w:proofErr w:type="spellStart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EhS</w:t>
      </w:r>
      <w:proofErr w:type="spellEnd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§ 126 lg 6 p 2 on sõnastatud järgmiselt:</w:t>
      </w:r>
    </w:p>
    <w:p w14:paraId="5BB9A931" w14:textId="196599B2" w:rsidR="00441610" w:rsidRPr="00441610" w:rsidRDefault="00C42069" w:rsidP="00C86B21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„</w:t>
      </w:r>
      <w:r w:rsidR="00441610"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2) nõuded puurkaevu ja -augu ehitusprojekti ja konstruktsiooni ning lammutamise ja ümberehitamise ehitusprojekti kohta.</w:t>
      </w:r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“ </w:t>
      </w:r>
      <w:r w:rsidR="00441610"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Muudatusettepanekuga kavandatakse kehtestada ministri määrusega nõuded lisaks puurkaevu ja -augu ümberehitamisele ja lammutamisele ka puurkaevu ja -augu rajamisele ning kasutatavatele puurimismeetoditele.</w:t>
      </w:r>
    </w:p>
    <w:p w14:paraId="20AD47D6" w14:textId="5C1E81C7" w:rsidR="00441610" w:rsidRPr="00441610" w:rsidRDefault="00441610" w:rsidP="00C86B21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Mõiste „rajamine“ on kasutusel </w:t>
      </w:r>
      <w:proofErr w:type="spellStart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EhSis</w:t>
      </w:r>
      <w:proofErr w:type="spellEnd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seonduvalt rajatise mõistega ja tähendab rajatise ehk puurkaevu või -augu ehitamist.</w:t>
      </w:r>
      <w:r w:rsidR="00C42069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Mõiste „ehitusprojekt“ hõlmab projekti puurkaevu ja -augu rajamiseks, ümberehitamiseks ja lammutamiseks ning selleks ei pea volitusnormis mõistet mitu korda kasutama nagu on kehtivas sättes.</w:t>
      </w:r>
    </w:p>
    <w:p w14:paraId="32A9989C" w14:textId="77777777" w:rsidR="00441610" w:rsidRPr="00441610" w:rsidRDefault="00441610" w:rsidP="00C86B21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lastRenderedPageBreak/>
        <w:t xml:space="preserve">Standardis EVS-EN 17522 „Täidetud soojuspuuraukude projekteerimine ja ehitus“ on lisas E välja toodud neli peamist puurimismeetodit: tigupuurimine (ingl </w:t>
      </w:r>
      <w:proofErr w:type="spellStart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auger</w:t>
      </w:r>
      <w:proofErr w:type="spellEnd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), tross-löökpuurimine (ingl </w:t>
      </w:r>
      <w:proofErr w:type="spellStart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cable</w:t>
      </w:r>
      <w:proofErr w:type="spellEnd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tool), suruõhuga keerdlöökpuurimine (ingl DTH </w:t>
      </w:r>
      <w:proofErr w:type="spellStart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hammer</w:t>
      </w:r>
      <w:proofErr w:type="spellEnd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) ja keerdpuurimine, nende puurimismeetodite eelised ja puudused ning iga puurimismeetodiga puurimisel kaevu sügavuse ja läbimõõdu vahemikud. Samad puurimismeetodid on ka nimetatud väljatöötamisel olevas veekaevude standardi kavandis „Wells </w:t>
      </w:r>
      <w:proofErr w:type="spellStart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for</w:t>
      </w:r>
      <w:proofErr w:type="spellEnd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water</w:t>
      </w:r>
      <w:proofErr w:type="spellEnd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proofErr w:type="spellStart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extraction</w:t>
      </w:r>
      <w:proofErr w:type="spellEnd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- Part 1: Design“ (</w:t>
      </w:r>
      <w:proofErr w:type="spellStart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prEN</w:t>
      </w:r>
      <w:proofErr w:type="spellEnd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18049-1).</w:t>
      </w:r>
    </w:p>
    <w:p w14:paraId="2F507788" w14:textId="77777777" w:rsidR="00441610" w:rsidRPr="00441610" w:rsidRDefault="00441610" w:rsidP="00C86B21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Et maandada riski, et </w:t>
      </w:r>
      <w:proofErr w:type="spellStart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KOVid</w:t>
      </w:r>
      <w:proofErr w:type="spellEnd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ei rakenda normi ühtselt nagu täna rakendab Keskkonnaamet, kellel on kehtiva </w:t>
      </w:r>
      <w:proofErr w:type="spellStart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EhS</w:t>
      </w:r>
      <w:proofErr w:type="spellEnd"/>
      <w:r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§ 126 lg 3 p 4 kohaselt samad volitused puurkaevu ehitusloa taotlust mitte kooskõlastada, siis on vajadus ühtse reeglistiku järele ka sel põhjusel.</w:t>
      </w:r>
    </w:p>
    <w:p w14:paraId="3D067499" w14:textId="0D4B3E76" w:rsidR="00441610" w:rsidRPr="00441610" w:rsidRDefault="007F4874" w:rsidP="00C86B21">
      <w:pPr>
        <w:spacing w:after="0" w:line="240" w:lineRule="auto"/>
        <w:jc w:val="both"/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  <w:r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Antud</w:t>
      </w:r>
      <w:r w:rsidR="00441610"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muudatusettepanek on seotud eelnõu </w:t>
      </w:r>
      <w:r w:rsidR="00F74A21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§ 1 </w:t>
      </w:r>
      <w:r w:rsidR="00441610"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punktiga 8, mille kohaselt </w:t>
      </w:r>
      <w:proofErr w:type="spellStart"/>
      <w:r w:rsidR="00441610"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KOVil</w:t>
      </w:r>
      <w:proofErr w:type="spellEnd"/>
      <w:r w:rsidR="00441610"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on õigus keelduda puurimisloa andmisest, kui puurkaevu või -augu ehitusprojektikohane sügavus, konstruktsioon või puurimismeetod ei taga põhjavee kaitse nõuete täitmist. Muudatuse tulemusel peaks </w:t>
      </w:r>
      <w:proofErr w:type="spellStart"/>
      <w:r w:rsidR="00441610"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KOVil</w:t>
      </w:r>
      <w:proofErr w:type="spellEnd"/>
      <w:r w:rsidR="00441610"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tekkima ühtne sisuline reeglistik ja alus ehitusloa andmisest keeldumiseks eelnimetatud alusel ja eelnõu </w:t>
      </w:r>
      <w:r w:rsidR="00F74A21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§ 1 </w:t>
      </w:r>
      <w:r w:rsidR="00441610" w:rsidRPr="00441610"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punkt 8 on sel juhul põhiseadusega kooskõlas.</w:t>
      </w:r>
    </w:p>
    <w:p w14:paraId="36F3A4DB" w14:textId="77777777" w:rsidR="00F74A21" w:rsidRDefault="00F74A21" w:rsidP="00441610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</w:p>
    <w:p w14:paraId="6742E9F2" w14:textId="77777777" w:rsidR="00C721A2" w:rsidRDefault="00C721A2" w:rsidP="00C72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B2A31B" w14:textId="09CBB748" w:rsidR="00C721A2" w:rsidRPr="00770F7B" w:rsidRDefault="00C721A2" w:rsidP="00C72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F7B">
        <w:rPr>
          <w:rFonts w:ascii="Times New Roman" w:hAnsi="Times New Roman" w:cs="Times New Roman"/>
          <w:b/>
          <w:sz w:val="24"/>
          <w:szCs w:val="24"/>
        </w:rPr>
        <w:t>Keskkonnakomisjon</w:t>
      </w:r>
    </w:p>
    <w:p w14:paraId="1C284616" w14:textId="77777777" w:rsidR="00C721A2" w:rsidRPr="00770F7B" w:rsidRDefault="00C721A2" w:rsidP="00C72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F7B">
        <w:rPr>
          <w:rFonts w:ascii="Times New Roman" w:hAnsi="Times New Roman" w:cs="Times New Roman"/>
          <w:sz w:val="24"/>
          <w:szCs w:val="24"/>
        </w:rPr>
        <w:t>Juhtivkomisjon: ARVESTADA TÄIELIKULT</w:t>
      </w:r>
    </w:p>
    <w:p w14:paraId="50157675" w14:textId="77777777" w:rsidR="00C721A2" w:rsidRDefault="00C721A2" w:rsidP="00C72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189D5" w14:textId="77777777" w:rsidR="00E703D0" w:rsidRPr="00770F7B" w:rsidRDefault="00E703D0" w:rsidP="00C72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7CDBE" w14:textId="2ACF2FBF" w:rsidR="00441610" w:rsidRPr="00441610" w:rsidRDefault="00441610" w:rsidP="001001D5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F74A21">
        <w:rPr>
          <w:rFonts w:ascii="Times New Roman" w:eastAsia="Times New Roman" w:hAnsi="Times New Roman" w:cs="Times New Roman"/>
          <w:b/>
          <w:bCs/>
          <w:color w:val="000000"/>
          <w:kern w:val="0"/>
          <w:sz w:val="40"/>
          <w:szCs w:val="40"/>
          <w:lang w:eastAsia="et-EE"/>
          <w14:ligatures w14:val="none"/>
        </w:rPr>
        <w:t>2.</w:t>
      </w:r>
      <w:r w:rsidRPr="00441610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441610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Muuta eelnõu § 4 tekst ja sõnastada see järgmiselt:</w:t>
      </w:r>
    </w:p>
    <w:p w14:paraId="350CDE5F" w14:textId="3C333183" w:rsidR="00441610" w:rsidRPr="00441610" w:rsidRDefault="00441610" w:rsidP="001001D5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441610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„(1) Käesoleva seaduse</w:t>
      </w:r>
      <w:r w:rsidR="00F33049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441610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§ 3 punktid 2–5 jõustuvad 2025. aasta 1. juulil.</w:t>
      </w:r>
    </w:p>
    <w:p w14:paraId="42C50061" w14:textId="77777777" w:rsidR="00F74A21" w:rsidRDefault="00F74A21" w:rsidP="001001D5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</w:p>
    <w:p w14:paraId="49BBAF2A" w14:textId="1AAC7151" w:rsidR="00441610" w:rsidRPr="00441610" w:rsidRDefault="00441610" w:rsidP="001001D5">
      <w:pPr>
        <w:spacing w:after="0" w:line="240" w:lineRule="auto"/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441610"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et-EE"/>
          <w14:ligatures w14:val="none"/>
        </w:rPr>
        <w:t>(2) Käesoleva seaduse § 1 punktid 4, 5, 8 ja 9 jõustuvad 2026. aasta 1. jaanuaril.“</w:t>
      </w:r>
    </w:p>
    <w:p w14:paraId="430544F5" w14:textId="77777777" w:rsidR="00F33049" w:rsidRDefault="00F33049" w:rsidP="00441610">
      <w:pPr>
        <w:spacing w:after="0" w:line="240" w:lineRule="auto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</w:p>
    <w:p w14:paraId="4D0714C8" w14:textId="761DB739" w:rsidR="00441610" w:rsidRPr="00D32478" w:rsidRDefault="00441610" w:rsidP="00D324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  <w:r w:rsidRPr="00D32478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Selgitus: </w:t>
      </w:r>
      <w:r w:rsidR="00086B56"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Antud</w:t>
      </w:r>
      <w:r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muudatusettepanekuga korrigeeritakse</w:t>
      </w:r>
      <w:r w:rsidR="00086B56"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esmalt</w:t>
      </w:r>
      <w:r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eelnõukohase</w:t>
      </w:r>
      <w:r w:rsidR="00086B56"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s</w:t>
      </w:r>
      <w:r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veeseaduse</w:t>
      </w:r>
      <w:r w:rsidR="00086B56"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s</w:t>
      </w:r>
      <w:r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reoveekogumisalade muutmis</w:t>
      </w:r>
      <w:r w:rsidR="00086B56"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t käsitlevate</w:t>
      </w:r>
      <w:r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sätete jõustumise tähtaega. Uueks jõustumistähtajaks on 01.07.2025. See on piisav aeg, et </w:t>
      </w:r>
      <w:proofErr w:type="spellStart"/>
      <w:r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KOV-e</w:t>
      </w:r>
      <w:proofErr w:type="spellEnd"/>
      <w:r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saa</w:t>
      </w:r>
      <w:r w:rsidR="00086B56"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ks</w:t>
      </w:r>
      <w:r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teavitada</w:t>
      </w:r>
      <w:r w:rsidR="00591DF4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ringkirjaga reoveekogumisalade menetluse üleminekust Kliimaministeeriumilt Keskkonnaametile. Samuti on see piisav aeg Keskkonnaametile menetluslike protseduuride selgitamiseks.</w:t>
      </w:r>
    </w:p>
    <w:p w14:paraId="750D393A" w14:textId="2214946E" w:rsidR="00441610" w:rsidRDefault="00ED6B2E" w:rsidP="00D324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  <w:r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Antud muudatusettepanekuga korrigeeritakse ka eelnõukohases ehitusseadustikus </w:t>
      </w:r>
      <w:r w:rsidR="00441610"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sätesta</w:t>
      </w:r>
      <w:r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tud</w:t>
      </w:r>
      <w:r w:rsidR="00441610"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üleminekuaeg</w:t>
      </w:r>
      <w:r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a</w:t>
      </w:r>
      <w:r w:rsidR="00441610"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>, et kohalikud omavalitsused saaksid valmistuda ning Keskkonnaamet jõuaks kohalikele omavalitsustele korraldada koolitused iseseisvaks</w:t>
      </w:r>
      <w:r w:rsidR="00D32478"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puurkaevude ja -aukude</w:t>
      </w:r>
      <w:r w:rsidR="00441610"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ehitusloa andmise otsustamiseks eelnõukohase seadusega kavandatud juhtudel.</w:t>
      </w:r>
      <w:r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 </w:t>
      </w:r>
      <w:r w:rsidR="00441610" w:rsidRPr="00D3247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  <w:t xml:space="preserve">Üleminekuaeg antakse ka rakendusakti kehtestamisele, et puurimisettevõtjad jõuaksid muudatustega kohaneda. </w:t>
      </w:r>
    </w:p>
    <w:p w14:paraId="17EE4B80" w14:textId="77777777" w:rsidR="00C721A2" w:rsidRDefault="00C721A2" w:rsidP="00D324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</w:p>
    <w:p w14:paraId="6A6CD10F" w14:textId="77777777" w:rsidR="00262B51" w:rsidRDefault="00262B51" w:rsidP="00D324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et-EE"/>
          <w14:ligatures w14:val="none"/>
        </w:rPr>
      </w:pPr>
    </w:p>
    <w:p w14:paraId="48282BC4" w14:textId="77777777" w:rsidR="00C721A2" w:rsidRPr="00770F7B" w:rsidRDefault="00C721A2" w:rsidP="00C72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F7B">
        <w:rPr>
          <w:rFonts w:ascii="Times New Roman" w:hAnsi="Times New Roman" w:cs="Times New Roman"/>
          <w:b/>
          <w:sz w:val="24"/>
          <w:szCs w:val="24"/>
        </w:rPr>
        <w:t>Keskkonnakomisjon</w:t>
      </w:r>
    </w:p>
    <w:p w14:paraId="239F5E99" w14:textId="4C34B81A" w:rsidR="00C721A2" w:rsidRDefault="00C721A2" w:rsidP="00C72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F7B">
        <w:rPr>
          <w:rFonts w:ascii="Times New Roman" w:hAnsi="Times New Roman" w:cs="Times New Roman"/>
          <w:sz w:val="24"/>
          <w:szCs w:val="24"/>
        </w:rPr>
        <w:t>Juhtivkomisjon: ARVESTADA TÄIELIKULT</w:t>
      </w:r>
    </w:p>
    <w:p w14:paraId="635C57B0" w14:textId="77777777" w:rsidR="00E85AE0" w:rsidRPr="00770F7B" w:rsidRDefault="00E85AE0" w:rsidP="00C72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C5ED2" w14:textId="77777777" w:rsidR="00664F45" w:rsidRPr="00770F7B" w:rsidRDefault="00664F45" w:rsidP="00664F45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F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33E7B6D" w14:textId="5AE5C64C" w:rsidR="00664F45" w:rsidRPr="00770F7B" w:rsidRDefault="00664F45" w:rsidP="00664F45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F7B">
        <w:rPr>
          <w:rFonts w:ascii="Times New Roman" w:hAnsi="Times New Roman" w:cs="Times New Roman"/>
          <w:sz w:val="24"/>
          <w:szCs w:val="24"/>
        </w:rPr>
        <w:t xml:space="preserve">Esitab keskkonnakomisjon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70F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770F7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70F7B">
        <w:rPr>
          <w:rFonts w:ascii="Times New Roman" w:hAnsi="Times New Roman" w:cs="Times New Roman"/>
          <w:sz w:val="24"/>
          <w:szCs w:val="24"/>
        </w:rPr>
        <w:t>.</w:t>
      </w:r>
    </w:p>
    <w:p w14:paraId="7020A848" w14:textId="77777777" w:rsidR="00664F45" w:rsidRDefault="00664F45" w:rsidP="00664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0252A" w14:textId="3553EFBB" w:rsidR="00664F45" w:rsidRPr="00770F7B" w:rsidRDefault="00664F45" w:rsidP="00664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F7B">
        <w:rPr>
          <w:rFonts w:ascii="Times New Roman" w:hAnsi="Times New Roman" w:cs="Times New Roman"/>
          <w:sz w:val="24"/>
          <w:szCs w:val="24"/>
        </w:rPr>
        <w:t>(kinnitatud digitaalselt)</w:t>
      </w:r>
    </w:p>
    <w:p w14:paraId="08EEACE1" w14:textId="5CBB1641" w:rsidR="00664F45" w:rsidRPr="00770F7B" w:rsidRDefault="00664F45" w:rsidP="00664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Igor Taro</w:t>
      </w:r>
    </w:p>
    <w:p w14:paraId="622594A1" w14:textId="23FE8414" w:rsidR="00C721A2" w:rsidRPr="00664F45" w:rsidRDefault="00664F45" w:rsidP="00D324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r w:rsidRPr="00770F7B">
        <w:rPr>
          <w:rFonts w:ascii="Times New Roman" w:hAnsi="Times New Roman" w:cs="Times New Roman"/>
          <w:sz w:val="24"/>
          <w:szCs w:val="24"/>
        </w:rPr>
        <w:t>Keskkonnakomisjoni esimees</w:t>
      </w:r>
    </w:p>
    <w:sectPr w:rsidR="00C721A2" w:rsidRPr="00664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10"/>
    <w:rsid w:val="00086B56"/>
    <w:rsid w:val="000D5736"/>
    <w:rsid w:val="001001D5"/>
    <w:rsid w:val="00185AF5"/>
    <w:rsid w:val="001E7421"/>
    <w:rsid w:val="00262B51"/>
    <w:rsid w:val="00286B06"/>
    <w:rsid w:val="002B2A4A"/>
    <w:rsid w:val="00336C65"/>
    <w:rsid w:val="00441610"/>
    <w:rsid w:val="004649FE"/>
    <w:rsid w:val="00557A02"/>
    <w:rsid w:val="00591DF4"/>
    <w:rsid w:val="005C1832"/>
    <w:rsid w:val="005C61FE"/>
    <w:rsid w:val="006109D0"/>
    <w:rsid w:val="00663CA2"/>
    <w:rsid w:val="00664F45"/>
    <w:rsid w:val="00670A7F"/>
    <w:rsid w:val="006D5A1B"/>
    <w:rsid w:val="007F4874"/>
    <w:rsid w:val="00A5729C"/>
    <w:rsid w:val="00C42069"/>
    <w:rsid w:val="00C531A8"/>
    <w:rsid w:val="00C721A2"/>
    <w:rsid w:val="00C86B21"/>
    <w:rsid w:val="00D32478"/>
    <w:rsid w:val="00D60DA0"/>
    <w:rsid w:val="00DC5FB5"/>
    <w:rsid w:val="00DD1D48"/>
    <w:rsid w:val="00E703D0"/>
    <w:rsid w:val="00E723B6"/>
    <w:rsid w:val="00E85AE0"/>
    <w:rsid w:val="00ED6B2E"/>
    <w:rsid w:val="00F33049"/>
    <w:rsid w:val="00F7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8C08"/>
  <w15:chartTrackingRefBased/>
  <w15:docId w15:val="{89BBB271-5792-41A0-AC19-293D7B16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41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41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41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41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41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41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41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41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41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41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41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41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4161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4161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4161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4161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4161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4161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41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41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41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41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41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4161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4161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4161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41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4161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41610"/>
    <w:rPr>
      <w:b/>
      <w:bCs/>
      <w:smallCaps/>
      <w:color w:val="0F4761" w:themeColor="accent1" w:themeShade="BF"/>
      <w:spacing w:val="5"/>
    </w:rPr>
  </w:style>
  <w:style w:type="paragraph" w:customStyle="1" w:styleId="eelnumrge">
    <w:name w:val="eelnõu märge"/>
    <w:basedOn w:val="Normaallaad"/>
    <w:next w:val="eelnunumber"/>
    <w:autoRedefine/>
    <w:qFormat/>
    <w:rsid w:val="000D5736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eelnunumber">
    <w:name w:val="eelnõu number"/>
    <w:basedOn w:val="Normaallaad"/>
    <w:next w:val="mrgeRiigikoguotsus"/>
    <w:autoRedefine/>
    <w:qFormat/>
    <w:rsid w:val="006109D0"/>
    <w:pPr>
      <w:spacing w:before="240" w:after="120" w:line="240" w:lineRule="auto"/>
      <w:jc w:val="center"/>
    </w:pPr>
    <w:rPr>
      <w:rFonts w:ascii="Times New Roman" w:eastAsiaTheme="minorEastAsia" w:hAnsi="Times New Roman"/>
      <w:kern w:val="0"/>
      <w:sz w:val="24"/>
      <w:szCs w:val="24"/>
      <w:lang w:eastAsia="et-EE"/>
      <w14:ligatures w14:val="none"/>
    </w:rPr>
  </w:style>
  <w:style w:type="paragraph" w:customStyle="1" w:styleId="mrgeRiigikoguotsus">
    <w:name w:val="märge &quot;Riigikogu otsus&quot;"/>
    <w:basedOn w:val="Normaallaad"/>
    <w:next w:val="Normaallaad"/>
    <w:autoRedefine/>
    <w:qFormat/>
    <w:rsid w:val="006109D0"/>
    <w:pPr>
      <w:spacing w:before="120" w:after="120" w:line="240" w:lineRule="auto"/>
      <w:jc w:val="center"/>
    </w:pPr>
    <w:rPr>
      <w:rFonts w:ascii="Times New Roman" w:eastAsiaTheme="minorEastAsia" w:hAnsi="Times New Roman"/>
      <w:b/>
      <w:kern w:val="0"/>
      <w:sz w:val="32"/>
      <w:szCs w:val="24"/>
      <w:lang w:eastAsia="et-EE"/>
      <w14:ligatures w14:val="none"/>
    </w:rPr>
  </w:style>
  <w:style w:type="paragraph" w:styleId="Redaktsioon">
    <w:name w:val="Revision"/>
    <w:hidden/>
    <w:uiPriority w:val="99"/>
    <w:semiHidden/>
    <w:rsid w:val="00185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6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Kaur</dc:creator>
  <cp:keywords/>
  <dc:description/>
  <cp:lastModifiedBy>Elle Kaur</cp:lastModifiedBy>
  <cp:revision>2</cp:revision>
  <dcterms:created xsi:type="dcterms:W3CDTF">2025-03-17T07:17:00Z</dcterms:created>
  <dcterms:modified xsi:type="dcterms:W3CDTF">2025-03-17T07:17:00Z</dcterms:modified>
</cp:coreProperties>
</file>