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91C7" w14:textId="77777777" w:rsidR="005C2F4E" w:rsidRPr="00CC61F1" w:rsidRDefault="005C2F4E" w:rsidP="005C2F4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Pr="00816EA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ohaliku omavalitsuse volikogu valimise seadus</w:t>
      </w:r>
      <w:r w:rsidRPr="00CC61F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e m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uutmise seaduse eelnõu seletuskiri</w:t>
      </w:r>
    </w:p>
    <w:p w14:paraId="614B669E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CA7B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 Sissejuhatus</w:t>
      </w:r>
    </w:p>
    <w:p w14:paraId="0EAC16E4" w14:textId="77777777" w:rsidR="005C2F4E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1.1. Sisukokkuvõte</w:t>
      </w:r>
    </w:p>
    <w:p w14:paraId="3FEB0D12" w14:textId="7FECD9CE" w:rsidR="003E49F5" w:rsidRDefault="005C2F4E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E">
        <w:rPr>
          <w:rFonts w:ascii="Times New Roman" w:hAnsi="Times New Roman" w:cs="Times New Roman"/>
          <w:sz w:val="24"/>
          <w:szCs w:val="24"/>
        </w:rPr>
        <w:t>Kohaliku omavalitsuse volikogu valimisõigus jaguneb hääletamisõiguseks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4E">
        <w:rPr>
          <w:rFonts w:ascii="Times New Roman" w:hAnsi="Times New Roman" w:cs="Times New Roman"/>
          <w:sz w:val="24"/>
          <w:szCs w:val="24"/>
        </w:rPr>
        <w:t>kandideerimisõiguseks</w:t>
      </w:r>
      <w:r>
        <w:rPr>
          <w:rFonts w:ascii="Times New Roman" w:hAnsi="Times New Roman" w:cs="Times New Roman"/>
          <w:sz w:val="24"/>
          <w:szCs w:val="24"/>
        </w:rPr>
        <w:t>. Põhiseaduse</w:t>
      </w:r>
      <w:r w:rsidR="00766A8F"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C4121">
        <w:rPr>
          <w:rFonts w:ascii="Times New Roman" w:hAnsi="Times New Roman" w:cs="Times New Roman"/>
          <w:sz w:val="24"/>
          <w:szCs w:val="24"/>
        </w:rPr>
        <w:t>§ 156</w:t>
      </w:r>
      <w:r>
        <w:rPr>
          <w:rFonts w:ascii="Times New Roman" w:hAnsi="Times New Roman" w:cs="Times New Roman"/>
          <w:sz w:val="24"/>
          <w:szCs w:val="24"/>
        </w:rPr>
        <w:t xml:space="preserve"> järgi on kohaliku</w:t>
      </w:r>
      <w:r w:rsidRPr="005C2F4E">
        <w:rPr>
          <w:rFonts w:ascii="Times New Roman" w:hAnsi="Times New Roman" w:cs="Times New Roman"/>
          <w:sz w:val="24"/>
          <w:szCs w:val="24"/>
        </w:rPr>
        <w:t xml:space="preserve"> omavalitsuse volikogu valimistel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4E">
        <w:rPr>
          <w:rFonts w:ascii="Times New Roman" w:hAnsi="Times New Roman" w:cs="Times New Roman"/>
          <w:sz w:val="24"/>
          <w:szCs w:val="24"/>
        </w:rPr>
        <w:t>hääleõiguslikud selle omavalitsuse maa-alal püsivalt elavad isikud, kes on vähemalt kuusteist aastat vanad.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>Põhiseadus ei esita kohaliku omavalitsuse volikogu valimisel kandideerimise eeldusena</w:t>
      </w:r>
      <w:r w:rsidR="003E49F5"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>elukoha nõuet</w:t>
      </w:r>
      <w:r w:rsidR="003E49F5">
        <w:rPr>
          <w:rFonts w:ascii="Times New Roman" w:hAnsi="Times New Roman" w:cs="Times New Roman"/>
          <w:sz w:val="24"/>
          <w:szCs w:val="24"/>
        </w:rPr>
        <w:t xml:space="preserve">. </w:t>
      </w:r>
      <w:r w:rsidR="003E49F5" w:rsidRPr="003E49F5">
        <w:rPr>
          <w:rFonts w:ascii="Times New Roman" w:hAnsi="Times New Roman" w:cs="Times New Roman"/>
          <w:sz w:val="24"/>
          <w:szCs w:val="24"/>
        </w:rPr>
        <w:t>Omavalitsuslikku võimu teostavad</w:t>
      </w:r>
      <w:r w:rsidR="003E49F5">
        <w:rPr>
          <w:rFonts w:ascii="Times New Roman" w:hAnsi="Times New Roman" w:cs="Times New Roman"/>
          <w:sz w:val="24"/>
          <w:szCs w:val="24"/>
        </w:rPr>
        <w:t xml:space="preserve"> lisaks volikogule</w:t>
      </w:r>
      <w:r w:rsidR="003E49F5" w:rsidRPr="003E49F5">
        <w:rPr>
          <w:rFonts w:ascii="Times New Roman" w:hAnsi="Times New Roman" w:cs="Times New Roman"/>
          <w:sz w:val="24"/>
          <w:szCs w:val="24"/>
        </w:rPr>
        <w:t xml:space="preserve"> ka valla- ja linnavalitsused ning nende ametiasutused, milles töötavad inimesed ei pea</w:t>
      </w:r>
      <w:r w:rsidR="003E49F5"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 xml:space="preserve">olema kohalikud elanikud. </w:t>
      </w:r>
    </w:p>
    <w:p w14:paraId="6822AF5F" w14:textId="28B44400" w:rsidR="003E49F5" w:rsidRDefault="003E49F5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9F5">
        <w:rPr>
          <w:rFonts w:ascii="Times New Roman" w:hAnsi="Times New Roman" w:cs="Times New Roman"/>
          <w:sz w:val="24"/>
          <w:szCs w:val="24"/>
        </w:rPr>
        <w:t>KOVVS § 5 lõigetest 1 ja 5 nende koostoimes tuleneb, et kandidaadi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9F5">
        <w:rPr>
          <w:rFonts w:ascii="Times New Roman" w:hAnsi="Times New Roman" w:cs="Times New Roman"/>
          <w:sz w:val="24"/>
          <w:szCs w:val="24"/>
        </w:rPr>
        <w:t xml:space="preserve">rahvastikuregistrijärgne püsiv elukoht peab asuma hiljemalt </w:t>
      </w:r>
      <w:r w:rsidRPr="002C4121">
        <w:rPr>
          <w:rFonts w:ascii="Times New Roman" w:hAnsi="Times New Roman" w:cs="Times New Roman"/>
          <w:sz w:val="24"/>
          <w:szCs w:val="24"/>
        </w:rPr>
        <w:t xml:space="preserve">valimisaasta 1. augustil vastavas vallas või linnas. Tegu on seadusega sätestatud kandideerimispiiranguga. Põhiseadus </w:t>
      </w:r>
      <w:r w:rsidR="00766A8F" w:rsidRPr="002C4121">
        <w:rPr>
          <w:rFonts w:ascii="Times New Roman" w:hAnsi="Times New Roman" w:cs="Times New Roman"/>
          <w:sz w:val="24"/>
          <w:szCs w:val="24"/>
        </w:rPr>
        <w:t>ei kohusta inimest, kes kandideerib volikokku</w:t>
      </w:r>
      <w:r w:rsidR="00896B1E" w:rsidRPr="002C4121">
        <w:rPr>
          <w:rFonts w:ascii="Times New Roman" w:hAnsi="Times New Roman" w:cs="Times New Roman"/>
          <w:sz w:val="24"/>
          <w:szCs w:val="24"/>
        </w:rPr>
        <w:t>,</w:t>
      </w:r>
      <w:r w:rsidR="00766A8F" w:rsidRPr="002C4121">
        <w:rPr>
          <w:rFonts w:ascii="Times New Roman" w:hAnsi="Times New Roman" w:cs="Times New Roman"/>
          <w:sz w:val="24"/>
          <w:szCs w:val="24"/>
        </w:rPr>
        <w:t xml:space="preserve"> elama püsivalt kohaliku omavalitsuse territooriumil.</w:t>
      </w:r>
    </w:p>
    <w:p w14:paraId="28F88DFF" w14:textId="23C68A9B" w:rsidR="003E49F5" w:rsidRDefault="003E49F5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vastuvõtmisel laieneks kandideerimisõigus kohalikku volikogusse ka teistele </w:t>
      </w:r>
      <w:r w:rsidRPr="003E49F5">
        <w:rPr>
          <w:rFonts w:ascii="Times New Roman" w:hAnsi="Times New Roman" w:cs="Times New Roman"/>
          <w:sz w:val="24"/>
          <w:szCs w:val="24"/>
        </w:rPr>
        <w:t>Eesti ja Euroopa Liidu kodanik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3E49F5">
        <w:rPr>
          <w:rFonts w:ascii="Times New Roman" w:hAnsi="Times New Roman" w:cs="Times New Roman"/>
          <w:sz w:val="24"/>
          <w:szCs w:val="24"/>
        </w:rPr>
        <w:t>, kes on kandidaatide registreerimise viimaseks päevaks saanud 18-aastaseks</w:t>
      </w:r>
      <w:r w:rsidR="005B7342">
        <w:rPr>
          <w:rFonts w:ascii="Times New Roman" w:hAnsi="Times New Roman" w:cs="Times New Roman"/>
          <w:sz w:val="24"/>
          <w:szCs w:val="24"/>
        </w:rPr>
        <w:t xml:space="preserve"> ning kelle püsiv elukoht asub hiljemalt valimisaasta 1. augustil Eesti Vabariigis.</w:t>
      </w:r>
    </w:p>
    <w:p w14:paraId="05E05B9A" w14:textId="0FF8FFE8" w:rsidR="00C87400" w:rsidRDefault="00C87400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eesmärgiks </w:t>
      </w:r>
      <w:r>
        <w:rPr>
          <w:rFonts w:ascii="Times New Roman" w:hAnsi="Times New Roman" w:cs="Times New Roman"/>
          <w:sz w:val="24"/>
          <w:szCs w:val="24"/>
        </w:rPr>
        <w:t>on anda võimalus kandideerida kohaliku omavalitsuse valimistel soovitud omavalitsuses ka neil püsivalt Eesti Vabariigis elavatael Eesti kodanikel ja Euroopa Liidu kodanikel, kelle püsiv elukoht ei asu omavalitsuses, kus ta kandideerib.</w:t>
      </w:r>
    </w:p>
    <w:p w14:paraId="770ED3AE" w14:textId="698FE5BF" w:rsidR="00C87400" w:rsidRPr="003E49F5" w:rsidRDefault="00C87400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Näiteks tekiks eelnõu vastuvõtmisel võimalus Setomaa vallavolikogusse kandideerida ka setodel, kelle püsiv elukoht ei asu Setomaa vallas, kuid kes soovivad omavalitsuse poliitikas kaasa lüüa. Hääletamisõigus jääb Põhiseaduse järgi siiski vaid </w:t>
      </w:r>
      <w:r w:rsidRPr="00C87400">
        <w:rPr>
          <w:rFonts w:ascii="Times New Roman" w:hAnsi="Times New Roman" w:cs="Times New Roman"/>
          <w:sz w:val="24"/>
          <w:szCs w:val="24"/>
        </w:rPr>
        <w:t>selle omavalitsuse maa-alal püsivalt elava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C87400">
        <w:rPr>
          <w:rFonts w:ascii="Times New Roman" w:hAnsi="Times New Roman" w:cs="Times New Roman"/>
          <w:sz w:val="24"/>
          <w:szCs w:val="24"/>
        </w:rPr>
        <w:t xml:space="preserve"> isiku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C87400">
        <w:rPr>
          <w:rFonts w:ascii="Times New Roman" w:hAnsi="Times New Roman" w:cs="Times New Roman"/>
          <w:sz w:val="24"/>
          <w:szCs w:val="24"/>
        </w:rPr>
        <w:t>, kes on vähemalt kuusteist aastat vanad.</w:t>
      </w:r>
    </w:p>
    <w:p w14:paraId="6D43F76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1.2. Eelnõu ettevalmistaja</w:t>
      </w:r>
    </w:p>
    <w:p w14:paraId="6377CF29" w14:textId="296291C1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ettevalmistaja on Eesti </w:t>
      </w:r>
      <w:r w:rsidR="00B23DEE">
        <w:rPr>
          <w:rFonts w:ascii="Times New Roman" w:hAnsi="Times New Roman" w:cs="Times New Roman"/>
          <w:sz w:val="24"/>
          <w:szCs w:val="24"/>
        </w:rPr>
        <w:t>Konservatiivse Rahvaerakonna</w:t>
      </w:r>
      <w:r w:rsidRPr="00CC61F1">
        <w:rPr>
          <w:rFonts w:ascii="Times New Roman" w:hAnsi="Times New Roman" w:cs="Times New Roman"/>
          <w:sz w:val="24"/>
          <w:szCs w:val="24"/>
        </w:rPr>
        <w:t xml:space="preserve"> Riigikogu fraktsioon.</w:t>
      </w:r>
    </w:p>
    <w:p w14:paraId="06534B8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2. Eelnõu eesmärk</w:t>
      </w:r>
    </w:p>
    <w:p w14:paraId="44849E7B" w14:textId="5FFC1AF8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eesmärgiks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B2A98">
        <w:rPr>
          <w:rFonts w:ascii="Times New Roman" w:hAnsi="Times New Roman" w:cs="Times New Roman"/>
          <w:sz w:val="24"/>
          <w:szCs w:val="24"/>
        </w:rPr>
        <w:t>anda võimalus kandideerida kohaliku omavalitsuse valimistel soovitud omavalitsuses ka neil püsivalt Eesti Vabariigis elavatael Eesti</w:t>
      </w:r>
      <w:r w:rsidR="00C87400">
        <w:rPr>
          <w:rFonts w:ascii="Times New Roman" w:hAnsi="Times New Roman" w:cs="Times New Roman"/>
          <w:sz w:val="24"/>
          <w:szCs w:val="24"/>
        </w:rPr>
        <w:t xml:space="preserve"> kodanikel</w:t>
      </w:r>
      <w:r w:rsidR="001B2A98">
        <w:rPr>
          <w:rFonts w:ascii="Times New Roman" w:hAnsi="Times New Roman" w:cs="Times New Roman"/>
          <w:sz w:val="24"/>
          <w:szCs w:val="24"/>
        </w:rPr>
        <w:t xml:space="preserve"> ja Euroopa Liidu kodanikel, kelle püsiv elukoht ei asu omavalitsuses, kus ta kandideerib.</w:t>
      </w:r>
      <w:r w:rsidR="00C87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0AFD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3. Eelnõu sisu ja võrdlev analüüs</w:t>
      </w:r>
    </w:p>
    <w:p w14:paraId="3127DA06" w14:textId="0E3B87D1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Eelnõuga </w:t>
      </w:r>
      <w:r w:rsidR="00C87400">
        <w:rPr>
          <w:rFonts w:ascii="Times New Roman" w:hAnsi="Times New Roman" w:cs="Times New Roman"/>
          <w:sz w:val="24"/>
          <w:szCs w:val="24"/>
        </w:rPr>
        <w:t xml:space="preserve">laiendatakse </w:t>
      </w:r>
      <w:r w:rsidRPr="00CC61F1">
        <w:rPr>
          <w:rFonts w:ascii="Times New Roman" w:hAnsi="Times New Roman" w:cs="Times New Roman"/>
          <w:sz w:val="24"/>
          <w:szCs w:val="24"/>
        </w:rPr>
        <w:t xml:space="preserve">kohaliku omavalitsuste volikogudesse </w:t>
      </w:r>
      <w:r w:rsidR="00C87400">
        <w:rPr>
          <w:rFonts w:ascii="Times New Roman" w:hAnsi="Times New Roman" w:cs="Times New Roman"/>
          <w:sz w:val="24"/>
          <w:szCs w:val="24"/>
        </w:rPr>
        <w:t>kandideerimisõigus ka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C87400">
        <w:rPr>
          <w:rFonts w:ascii="Times New Roman" w:hAnsi="Times New Roman" w:cs="Times New Roman"/>
          <w:sz w:val="24"/>
          <w:szCs w:val="24"/>
        </w:rPr>
        <w:t xml:space="preserve">püsivalt Eesti Vabariigis elavetele </w:t>
      </w:r>
      <w:r w:rsidRPr="00CC61F1">
        <w:rPr>
          <w:rFonts w:ascii="Times New Roman" w:hAnsi="Times New Roman" w:cs="Times New Roman"/>
          <w:sz w:val="24"/>
          <w:szCs w:val="24"/>
        </w:rPr>
        <w:t>isikutele</w:t>
      </w:r>
      <w:r w:rsidR="00C87400">
        <w:rPr>
          <w:rFonts w:ascii="Times New Roman" w:hAnsi="Times New Roman" w:cs="Times New Roman"/>
          <w:sz w:val="24"/>
          <w:szCs w:val="24"/>
        </w:rPr>
        <w:t>, kelle elukoht ei asu vastava kohaliku omavalitsuse maa-alal.</w:t>
      </w:r>
    </w:p>
    <w:p w14:paraId="60E3F41D" w14:textId="3D2DE83B" w:rsidR="005C2F4E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lastRenderedPageBreak/>
        <w:t>Eelnõuga muudetakse seaduse paragrahvi 5, lõige</w:t>
      </w:r>
      <w:r w:rsidR="00C87400">
        <w:rPr>
          <w:rFonts w:ascii="Times New Roman" w:hAnsi="Times New Roman" w:cs="Times New Roman"/>
          <w:sz w:val="24"/>
          <w:szCs w:val="24"/>
        </w:rPr>
        <w:t>t</w:t>
      </w:r>
      <w:r w:rsidRPr="00CC61F1">
        <w:rPr>
          <w:rFonts w:ascii="Times New Roman" w:hAnsi="Times New Roman" w:cs="Times New Roman"/>
          <w:sz w:val="24"/>
          <w:szCs w:val="24"/>
        </w:rPr>
        <w:t xml:space="preserve"> 5 ja </w:t>
      </w:r>
      <w:r w:rsidR="00C87400">
        <w:rPr>
          <w:rFonts w:ascii="Times New Roman" w:hAnsi="Times New Roman" w:cs="Times New Roman"/>
          <w:sz w:val="24"/>
          <w:szCs w:val="24"/>
        </w:rPr>
        <w:t>eemaldatakse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C87400">
        <w:rPr>
          <w:rFonts w:ascii="Times New Roman" w:hAnsi="Times New Roman" w:cs="Times New Roman"/>
          <w:sz w:val="24"/>
          <w:szCs w:val="24"/>
        </w:rPr>
        <w:t>sellest</w:t>
      </w:r>
      <w:r w:rsidRPr="00CC61F1">
        <w:rPr>
          <w:rFonts w:ascii="Times New Roman" w:hAnsi="Times New Roman" w:cs="Times New Roman"/>
          <w:sz w:val="24"/>
          <w:szCs w:val="24"/>
        </w:rPr>
        <w:t xml:space="preserve"> nõue</w:t>
      </w:r>
      <w:r w:rsidR="00C87400">
        <w:rPr>
          <w:rFonts w:ascii="Times New Roman" w:hAnsi="Times New Roman" w:cs="Times New Roman"/>
          <w:sz w:val="24"/>
          <w:szCs w:val="24"/>
        </w:rPr>
        <w:t xml:space="preserve">, mis sätestab, et kandidaadi </w:t>
      </w:r>
      <w:r w:rsidR="00C87400" w:rsidRPr="00C87400">
        <w:rPr>
          <w:rFonts w:ascii="Times New Roman" w:hAnsi="Times New Roman" w:cs="Times New Roman"/>
          <w:sz w:val="24"/>
          <w:szCs w:val="24"/>
        </w:rPr>
        <w:t>püsiv elukoht asub hiljemalt valimisaasta 1. augustil vastavas vallas või linnas.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9D8B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4. Eelnõu terminoloogia</w:t>
      </w:r>
    </w:p>
    <w:p w14:paraId="622CA360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Eelnõus ei kasutata uusi termineid. </w:t>
      </w:r>
    </w:p>
    <w:p w14:paraId="6584761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5. Eelnõu vastavus Euroopa Liidu õigusele</w:t>
      </w:r>
    </w:p>
    <w:p w14:paraId="25B40104" w14:textId="4B1F29C6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Eelnõul </w:t>
      </w:r>
      <w:r w:rsidR="006B4279">
        <w:rPr>
          <w:rFonts w:ascii="Times New Roman" w:hAnsi="Times New Roman" w:cs="Times New Roman"/>
          <w:sz w:val="24"/>
          <w:szCs w:val="24"/>
        </w:rPr>
        <w:t>on vastavuses</w:t>
      </w:r>
      <w:r w:rsidRPr="00CC61F1">
        <w:rPr>
          <w:rFonts w:ascii="Times New Roman" w:hAnsi="Times New Roman" w:cs="Times New Roman"/>
          <w:sz w:val="24"/>
          <w:szCs w:val="24"/>
        </w:rPr>
        <w:t xml:space="preserve"> Euroopa Liidu õigusega.</w:t>
      </w:r>
    </w:p>
    <w:p w14:paraId="0597BF10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6. Seaduse mõju</w:t>
      </w:r>
    </w:p>
    <w:p w14:paraId="29897CAA" w14:textId="247CFDF4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Muudatus mõjutab positiivselt</w:t>
      </w:r>
      <w:r w:rsidR="006B4279">
        <w:rPr>
          <w:rFonts w:ascii="Times New Roman" w:hAnsi="Times New Roman" w:cs="Times New Roman"/>
          <w:sz w:val="24"/>
          <w:szCs w:val="24"/>
        </w:rPr>
        <w:t xml:space="preserve"> kohalikus poliitikas kaasarääkivate kodanike aktiivsust ning aitab hoida sidet piirkondadega, millega kandidaat tunnetab ühist identiteeti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1A8053E9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sotsiaalne mõju – suur</w:t>
      </w:r>
    </w:p>
    <w:p w14:paraId="481FD66E" w14:textId="3141D7BD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Muudatuse sihtrühm on isikud, </w:t>
      </w:r>
      <w:r w:rsidR="006B4279">
        <w:rPr>
          <w:rFonts w:ascii="Times New Roman" w:hAnsi="Times New Roman" w:cs="Times New Roman"/>
          <w:sz w:val="24"/>
          <w:szCs w:val="24"/>
        </w:rPr>
        <w:t>kes soovivad kandideerida ning kaasa lüüa kohaliku omavalitsuse poliitikas, mille maa-alal nad püsivalt ei ela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08720A10" w14:textId="40115792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 julgeolekule – </w:t>
      </w:r>
      <w:r w:rsidR="006B4279">
        <w:rPr>
          <w:rFonts w:ascii="Times New Roman" w:hAnsi="Times New Roman" w:cs="Times New Roman"/>
          <w:sz w:val="24"/>
          <w:szCs w:val="24"/>
        </w:rPr>
        <w:t>vähene</w:t>
      </w:r>
    </w:p>
    <w:p w14:paraId="19F8C1F6" w14:textId="3D10CB5F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Muudatused </w:t>
      </w:r>
      <w:r w:rsidR="006B4279">
        <w:rPr>
          <w:rFonts w:ascii="Times New Roman" w:hAnsi="Times New Roman" w:cs="Times New Roman"/>
          <w:sz w:val="24"/>
          <w:szCs w:val="24"/>
        </w:rPr>
        <w:t>ei mõjuta otseselt</w:t>
      </w:r>
      <w:r w:rsidRPr="00CC61F1">
        <w:rPr>
          <w:rFonts w:ascii="Times New Roman" w:hAnsi="Times New Roman" w:cs="Times New Roman"/>
          <w:sz w:val="24"/>
          <w:szCs w:val="24"/>
        </w:rPr>
        <w:t xml:space="preserve"> riigi </w:t>
      </w:r>
      <w:r w:rsidR="006B4279">
        <w:rPr>
          <w:rFonts w:ascii="Times New Roman" w:hAnsi="Times New Roman" w:cs="Times New Roman"/>
          <w:sz w:val="24"/>
          <w:szCs w:val="24"/>
        </w:rPr>
        <w:t>julgeolekut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7735AC0B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 välissuhetele – puudub</w:t>
      </w:r>
    </w:p>
    <w:p w14:paraId="61160C3E" w14:textId="17C4417D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majanduslik mõju – </w:t>
      </w:r>
      <w:r w:rsidR="006B4279">
        <w:rPr>
          <w:rFonts w:ascii="Times New Roman" w:hAnsi="Times New Roman" w:cs="Times New Roman"/>
          <w:sz w:val="24"/>
          <w:szCs w:val="24"/>
        </w:rPr>
        <w:t>keskmine</w:t>
      </w:r>
    </w:p>
    <w:p w14:paraId="25E0963E" w14:textId="4B3833FF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Positiivne majanduslik mõju </w:t>
      </w:r>
      <w:r>
        <w:rPr>
          <w:rFonts w:ascii="Times New Roman" w:hAnsi="Times New Roman" w:cs="Times New Roman"/>
          <w:sz w:val="24"/>
          <w:szCs w:val="24"/>
        </w:rPr>
        <w:t xml:space="preserve">läbi </w:t>
      </w:r>
      <w:r w:rsidR="006B4279">
        <w:rPr>
          <w:rFonts w:ascii="Times New Roman" w:hAnsi="Times New Roman" w:cs="Times New Roman"/>
          <w:sz w:val="24"/>
          <w:szCs w:val="24"/>
        </w:rPr>
        <w:t>mitmekesiseima juhtimisspektri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1F1">
        <w:rPr>
          <w:rFonts w:ascii="Times New Roman" w:hAnsi="Times New Roman" w:cs="Times New Roman"/>
          <w:sz w:val="24"/>
          <w:szCs w:val="24"/>
        </w:rPr>
        <w:t xml:space="preserve">avaldub </w:t>
      </w:r>
      <w:r>
        <w:rPr>
          <w:rFonts w:ascii="Times New Roman" w:hAnsi="Times New Roman" w:cs="Times New Roman"/>
          <w:sz w:val="24"/>
          <w:szCs w:val="24"/>
        </w:rPr>
        <w:t>läbi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6B4279">
        <w:rPr>
          <w:rFonts w:ascii="Times New Roman" w:hAnsi="Times New Roman" w:cs="Times New Roman"/>
          <w:sz w:val="24"/>
          <w:szCs w:val="24"/>
        </w:rPr>
        <w:t>laiema vaate piirkonna majanduse elavdamisele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33F09BB2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riigiasutuste ja kohaliku omavalitsuse korraldusele – suur.</w:t>
      </w:r>
    </w:p>
    <w:p w14:paraId="3091C6F8" w14:textId="1EBCB054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vastuvõtmisel seadusena </w:t>
      </w:r>
      <w:r w:rsidR="006B4279">
        <w:rPr>
          <w:rFonts w:ascii="Times New Roman" w:hAnsi="Times New Roman" w:cs="Times New Roman"/>
          <w:sz w:val="24"/>
          <w:szCs w:val="24"/>
        </w:rPr>
        <w:t>saavad valituks osutudes volikogu töös kaasa lüüa ka Eesti Vabariigi ja Euroopa Liidu kodanikud, kelle püsiv elukoht on Eesti Vabariigis, kuid ei pruugi olla vastavas kohalikus omavalitsuses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E09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7. Seaduse rakendamiseks vajalikud kulutused</w:t>
      </w:r>
    </w:p>
    <w:p w14:paraId="59D513E1" w14:textId="35765E82" w:rsidR="005C2F4E" w:rsidRPr="005C2F4E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muudatusega ei kaasne kulusid.</w:t>
      </w:r>
    </w:p>
    <w:p w14:paraId="685C9DA5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8. Rakendusaktid</w:t>
      </w:r>
    </w:p>
    <w:p w14:paraId="4418A25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jõustamiseks ei ole eraldi rakendusakt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61F1">
        <w:rPr>
          <w:rFonts w:ascii="Times New Roman" w:hAnsi="Times New Roman" w:cs="Times New Roman"/>
          <w:sz w:val="24"/>
          <w:szCs w:val="24"/>
        </w:rPr>
        <w:t xml:space="preserve"> vaja.</w:t>
      </w:r>
    </w:p>
    <w:p w14:paraId="00182CC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9. Seaduse jõustumine</w:t>
      </w:r>
    </w:p>
    <w:p w14:paraId="46FF14EC" w14:textId="47C5477A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Eelnõu jõustub seaduse avaldamisest Riigi Teatajas.</w:t>
      </w:r>
    </w:p>
    <w:p w14:paraId="42D279C6" w14:textId="5E75A152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58680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C61F1">
        <w:rPr>
          <w:rFonts w:ascii="Times New Roman" w:hAnsi="Times New Roman" w:cs="Times New Roman"/>
          <w:sz w:val="24"/>
          <w:szCs w:val="24"/>
        </w:rPr>
        <w:t>Algatab</w:t>
      </w:r>
      <w:r w:rsidR="00F46516">
        <w:rPr>
          <w:rFonts w:ascii="Times New Roman" w:hAnsi="Times New Roman" w:cs="Times New Roman"/>
          <w:sz w:val="24"/>
          <w:szCs w:val="24"/>
        </w:rPr>
        <w:t xml:space="preserve"> Eesti Konservatiivse Rahvaerakonna fraktsioon                             24</w:t>
      </w:r>
      <w:r w:rsidRPr="00CC61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1F1">
        <w:rPr>
          <w:rFonts w:ascii="Times New Roman" w:hAnsi="Times New Roman" w:cs="Times New Roman"/>
          <w:sz w:val="24"/>
          <w:szCs w:val="24"/>
        </w:rPr>
        <w:t>.202</w:t>
      </w:r>
      <w:r w:rsidR="00F46516">
        <w:rPr>
          <w:rFonts w:ascii="Times New Roman" w:hAnsi="Times New Roman" w:cs="Times New Roman"/>
          <w:sz w:val="24"/>
          <w:szCs w:val="24"/>
        </w:rPr>
        <w:t>5</w:t>
      </w:r>
    </w:p>
    <w:bookmarkEnd w:id="0"/>
    <w:p w14:paraId="03D5F89C" w14:textId="61D056E3" w:rsidR="005C2F4E" w:rsidRPr="006B4279" w:rsidRDefault="00F46516" w:rsidP="005C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sectPr w:rsidR="005C2F4E" w:rsidRPr="006B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E"/>
    <w:rsid w:val="001B2A98"/>
    <w:rsid w:val="002C4121"/>
    <w:rsid w:val="00353E91"/>
    <w:rsid w:val="003E49F5"/>
    <w:rsid w:val="005B7342"/>
    <w:rsid w:val="005C2F4E"/>
    <w:rsid w:val="006B4279"/>
    <w:rsid w:val="00766A8F"/>
    <w:rsid w:val="00812C5C"/>
    <w:rsid w:val="00896B1E"/>
    <w:rsid w:val="00AD1FE6"/>
    <w:rsid w:val="00B23DEE"/>
    <w:rsid w:val="00B325BE"/>
    <w:rsid w:val="00C87400"/>
    <w:rsid w:val="00D4259D"/>
    <w:rsid w:val="00D83B08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44C8"/>
  <w15:chartTrackingRefBased/>
  <w15:docId w15:val="{B6B138F9-5FB2-4667-80B0-E5F1A47F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2F4E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2F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2F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2F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2F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2F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2F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2F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2F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2F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2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2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2F4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2F4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2F4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2F4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2F4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2F4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C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2F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C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2F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C2F4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2F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C2F4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2F4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2F4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5C2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Haugas</dc:creator>
  <cp:keywords/>
  <dc:description/>
  <cp:lastModifiedBy>Aat Purje</cp:lastModifiedBy>
  <cp:revision>3</cp:revision>
  <cp:lastPrinted>2025-03-25T11:23:00Z</cp:lastPrinted>
  <dcterms:created xsi:type="dcterms:W3CDTF">2025-04-24T06:36:00Z</dcterms:created>
  <dcterms:modified xsi:type="dcterms:W3CDTF">2025-04-24T07:16:00Z</dcterms:modified>
</cp:coreProperties>
</file>