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4DF02" w14:textId="22733027" w:rsidR="00F24809" w:rsidRPr="00F24809" w:rsidRDefault="00F24809" w:rsidP="00F24809">
      <w:pPr>
        <w:jc w:val="right"/>
        <w:rPr>
          <w:rFonts w:ascii="Times New Roman" w:hAnsi="Times New Roman" w:cs="Times New Roman"/>
          <w:sz w:val="24"/>
          <w:szCs w:val="24"/>
        </w:rPr>
      </w:pPr>
      <w:r w:rsidRPr="00F24809">
        <w:rPr>
          <w:rFonts w:ascii="Times New Roman" w:hAnsi="Times New Roman" w:cs="Times New Roman"/>
          <w:sz w:val="24"/>
          <w:szCs w:val="24"/>
        </w:rPr>
        <w:t>EELNÕU</w:t>
      </w:r>
    </w:p>
    <w:p w14:paraId="407ABB08" w14:textId="77777777" w:rsidR="00F24809" w:rsidRDefault="00F24809" w:rsidP="00F24809">
      <w:pPr>
        <w:jc w:val="both"/>
        <w:rPr>
          <w:rFonts w:ascii="Times New Roman" w:hAnsi="Times New Roman" w:cs="Times New Roman"/>
          <w:b/>
          <w:bCs/>
          <w:sz w:val="24"/>
          <w:szCs w:val="24"/>
        </w:rPr>
      </w:pPr>
    </w:p>
    <w:p w14:paraId="53E4A909" w14:textId="3F65F6CD" w:rsidR="00F24809" w:rsidRPr="00F24809" w:rsidRDefault="00F24809" w:rsidP="00F24809">
      <w:pPr>
        <w:jc w:val="center"/>
        <w:rPr>
          <w:rFonts w:ascii="Times New Roman" w:hAnsi="Times New Roman" w:cs="Times New Roman"/>
          <w:sz w:val="32"/>
          <w:szCs w:val="32"/>
        </w:rPr>
      </w:pPr>
      <w:r w:rsidRPr="00F24809">
        <w:rPr>
          <w:rFonts w:ascii="Times New Roman" w:hAnsi="Times New Roman" w:cs="Times New Roman"/>
          <w:b/>
          <w:bCs/>
          <w:sz w:val="32"/>
          <w:szCs w:val="32"/>
        </w:rPr>
        <w:t>Võlaõigusseaduse muutmise seaduse eelnõu</w:t>
      </w:r>
    </w:p>
    <w:p w14:paraId="06358E39"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4F9DCCEA"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73CB0D4A" w14:textId="7F67EA28"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b/>
          <w:bCs/>
          <w:sz w:val="24"/>
          <w:szCs w:val="24"/>
        </w:rPr>
        <w:t>§ 1. Võlaõigusseaduse</w:t>
      </w:r>
      <w:r w:rsidR="003C7A81" w:rsidRPr="003C7A81">
        <w:rPr>
          <w:rFonts w:ascii="Times New Roman" w:hAnsi="Times New Roman" w:cs="Times New Roman"/>
          <w:sz w:val="24"/>
          <w:szCs w:val="24"/>
        </w:rPr>
        <w:t xml:space="preserve"> paragrahvi 411 lõiget 4 muudetakse ja sõnastatakse j</w:t>
      </w:r>
      <w:r w:rsidRPr="00F24809">
        <w:rPr>
          <w:rFonts w:ascii="Times New Roman" w:hAnsi="Times New Roman" w:cs="Times New Roman"/>
          <w:sz w:val="24"/>
          <w:szCs w:val="24"/>
        </w:rPr>
        <w:t>ärgmise</w:t>
      </w:r>
      <w:r w:rsidR="003C7A81" w:rsidRPr="003C7A81">
        <w:rPr>
          <w:rFonts w:ascii="Times New Roman" w:hAnsi="Times New Roman" w:cs="Times New Roman"/>
          <w:sz w:val="24"/>
          <w:szCs w:val="24"/>
        </w:rPr>
        <w:t>lt:</w:t>
      </w:r>
    </w:p>
    <w:p w14:paraId="08D9B4DA" w14:textId="1B3E0AFF"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w:t>
      </w:r>
      <w:r w:rsidR="003C7A81">
        <w:rPr>
          <w:rFonts w:ascii="Times New Roman" w:hAnsi="Times New Roman" w:cs="Times New Roman"/>
          <w:sz w:val="24"/>
          <w:szCs w:val="24"/>
        </w:rPr>
        <w:t xml:space="preserve">(4) </w:t>
      </w:r>
      <w:r w:rsidRPr="00F24809">
        <w:rPr>
          <w:rFonts w:ascii="Times New Roman" w:hAnsi="Times New Roman" w:cs="Times New Roman"/>
          <w:sz w:val="24"/>
          <w:szCs w:val="24"/>
        </w:rPr>
        <w:t>Kui elamukinnisvaraga seotud tarbijakrediidilepingu puhul toimub ennetähtaegne tagasimaksmine fikseerimata intressimääraga perioodil, puudub krediidiandjal õigus nõuda tarbijalt saamata jäänud intressi kui lepingu lõpetamisest teavitatakse vähemalt üks kuu ette.“</w:t>
      </w:r>
    </w:p>
    <w:p w14:paraId="52601D59" w14:textId="77777777" w:rsidR="00F24809" w:rsidRDefault="00F24809" w:rsidP="00F24809">
      <w:pPr>
        <w:jc w:val="both"/>
        <w:rPr>
          <w:rFonts w:ascii="Times New Roman" w:hAnsi="Times New Roman" w:cs="Times New Roman"/>
          <w:b/>
          <w:bCs/>
          <w:sz w:val="24"/>
          <w:szCs w:val="24"/>
        </w:rPr>
      </w:pPr>
    </w:p>
    <w:p w14:paraId="22FBD747" w14:textId="492959A0"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b/>
          <w:bCs/>
          <w:sz w:val="24"/>
          <w:szCs w:val="24"/>
        </w:rPr>
        <w:t>§ 2. Seaduse jõustumine</w:t>
      </w:r>
    </w:p>
    <w:p w14:paraId="327E8E98"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Seadus jõustub 2026. aasta 1. jaanuaril.</w:t>
      </w:r>
    </w:p>
    <w:p w14:paraId="3C3121DB"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43EC90B8"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Lauri Hussar</w:t>
      </w:r>
    </w:p>
    <w:p w14:paraId="6578CB97"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Riigikogu esimees</w:t>
      </w:r>
    </w:p>
    <w:p w14:paraId="66275D82"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0F3B3585"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6D80FB5E"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Tallinn,                                   2025</w:t>
      </w:r>
    </w:p>
    <w:p w14:paraId="08382D01"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________________________________________________________________________</w:t>
      </w:r>
    </w:p>
    <w:p w14:paraId="6E23298C" w14:textId="64B6856C"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Algatab Eesti Keskerakonna fraktsioon</w:t>
      </w:r>
      <w:r>
        <w:rPr>
          <w:rFonts w:ascii="Times New Roman" w:hAnsi="Times New Roman" w:cs="Times New Roman"/>
          <w:sz w:val="24"/>
          <w:szCs w:val="24"/>
        </w:rPr>
        <w:t xml:space="preserve">                                                        </w:t>
      </w:r>
      <w:r w:rsidRPr="00F24809">
        <w:rPr>
          <w:rFonts w:ascii="Times New Roman" w:hAnsi="Times New Roman" w:cs="Times New Roman"/>
          <w:sz w:val="24"/>
          <w:szCs w:val="24"/>
        </w:rPr>
        <w:t>​​​​aprill 2025</w:t>
      </w:r>
    </w:p>
    <w:p w14:paraId="55FDC3D0"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034DE865"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Lauri Laats</w:t>
      </w:r>
    </w:p>
    <w:p w14:paraId="5ED91865"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Eesti Keskerakonna fraktsiooni esimees</w:t>
      </w:r>
    </w:p>
    <w:p w14:paraId="4989D341" w14:textId="0C01A327" w:rsidR="00F24809" w:rsidRDefault="00F24809" w:rsidP="00F24809">
      <w:pPr>
        <w:jc w:val="both"/>
        <w:rPr>
          <w:rFonts w:ascii="Times New Roman" w:hAnsi="Times New Roman" w:cs="Times New Roman"/>
          <w:b/>
          <w:bCs/>
          <w:sz w:val="24"/>
          <w:szCs w:val="24"/>
        </w:rPr>
      </w:pPr>
    </w:p>
    <w:p w14:paraId="73DE862F" w14:textId="77777777" w:rsidR="00F24809" w:rsidRDefault="00F24809" w:rsidP="00F24809">
      <w:pPr>
        <w:jc w:val="both"/>
        <w:rPr>
          <w:rFonts w:ascii="Times New Roman" w:hAnsi="Times New Roman" w:cs="Times New Roman"/>
          <w:b/>
          <w:bCs/>
          <w:sz w:val="24"/>
          <w:szCs w:val="24"/>
        </w:rPr>
      </w:pPr>
    </w:p>
    <w:p w14:paraId="26FD1219" w14:textId="77777777" w:rsidR="00F24809" w:rsidRDefault="00F24809" w:rsidP="00F24809">
      <w:pPr>
        <w:jc w:val="both"/>
        <w:rPr>
          <w:rFonts w:ascii="Times New Roman" w:hAnsi="Times New Roman" w:cs="Times New Roman"/>
          <w:b/>
          <w:bCs/>
          <w:sz w:val="24"/>
          <w:szCs w:val="24"/>
        </w:rPr>
      </w:pPr>
    </w:p>
    <w:p w14:paraId="43E4D606" w14:textId="77777777" w:rsidR="00F24809" w:rsidRDefault="00F24809" w:rsidP="00F24809">
      <w:pPr>
        <w:jc w:val="both"/>
        <w:rPr>
          <w:rFonts w:ascii="Times New Roman" w:hAnsi="Times New Roman" w:cs="Times New Roman"/>
          <w:b/>
          <w:bCs/>
          <w:sz w:val="24"/>
          <w:szCs w:val="24"/>
        </w:rPr>
      </w:pPr>
    </w:p>
    <w:p w14:paraId="647E3441" w14:textId="77777777" w:rsidR="00F24809" w:rsidRDefault="00F24809" w:rsidP="00F24809">
      <w:pPr>
        <w:jc w:val="both"/>
        <w:rPr>
          <w:rFonts w:ascii="Times New Roman" w:hAnsi="Times New Roman" w:cs="Times New Roman"/>
          <w:b/>
          <w:bCs/>
          <w:sz w:val="24"/>
          <w:szCs w:val="24"/>
        </w:rPr>
      </w:pPr>
    </w:p>
    <w:p w14:paraId="2DF56EC5" w14:textId="77777777" w:rsidR="00F24809" w:rsidRDefault="00F24809" w:rsidP="00F24809">
      <w:pPr>
        <w:jc w:val="both"/>
        <w:rPr>
          <w:rFonts w:ascii="Times New Roman" w:hAnsi="Times New Roman" w:cs="Times New Roman"/>
          <w:b/>
          <w:bCs/>
          <w:sz w:val="24"/>
          <w:szCs w:val="24"/>
        </w:rPr>
      </w:pPr>
    </w:p>
    <w:p w14:paraId="19B5D44C" w14:textId="77777777" w:rsidR="00F24809" w:rsidRDefault="00F24809" w:rsidP="00F24809">
      <w:pPr>
        <w:jc w:val="both"/>
        <w:rPr>
          <w:rFonts w:ascii="Times New Roman" w:hAnsi="Times New Roman" w:cs="Times New Roman"/>
          <w:b/>
          <w:bCs/>
          <w:sz w:val="24"/>
          <w:szCs w:val="24"/>
        </w:rPr>
      </w:pPr>
    </w:p>
    <w:p w14:paraId="21D4F1E5" w14:textId="77777777" w:rsidR="00F24809" w:rsidRPr="00F24809" w:rsidRDefault="00F24809" w:rsidP="00F24809">
      <w:pPr>
        <w:jc w:val="both"/>
        <w:rPr>
          <w:rFonts w:ascii="Times New Roman" w:hAnsi="Times New Roman" w:cs="Times New Roman"/>
          <w:sz w:val="24"/>
          <w:szCs w:val="24"/>
        </w:rPr>
      </w:pPr>
    </w:p>
    <w:p w14:paraId="0F46ACE0" w14:textId="77777777" w:rsidR="00F24809" w:rsidRDefault="00F24809" w:rsidP="00F24809">
      <w:pPr>
        <w:jc w:val="both"/>
        <w:rPr>
          <w:rFonts w:ascii="Times New Roman" w:hAnsi="Times New Roman" w:cs="Times New Roman"/>
          <w:b/>
          <w:bCs/>
          <w:sz w:val="32"/>
          <w:szCs w:val="32"/>
        </w:rPr>
      </w:pPr>
    </w:p>
    <w:p w14:paraId="477A390F" w14:textId="0150AE98" w:rsidR="00F24809" w:rsidRPr="00F24809" w:rsidRDefault="00F24809" w:rsidP="00F24809">
      <w:pPr>
        <w:jc w:val="center"/>
        <w:rPr>
          <w:rFonts w:ascii="Times New Roman" w:hAnsi="Times New Roman" w:cs="Times New Roman"/>
          <w:sz w:val="32"/>
          <w:szCs w:val="32"/>
        </w:rPr>
      </w:pPr>
      <w:r w:rsidRPr="00F24809">
        <w:rPr>
          <w:rFonts w:ascii="Times New Roman" w:hAnsi="Times New Roman" w:cs="Times New Roman"/>
          <w:b/>
          <w:bCs/>
          <w:sz w:val="32"/>
          <w:szCs w:val="32"/>
        </w:rPr>
        <w:t>Võlaõigusseaduse muutmise seaduse eelnõu</w:t>
      </w:r>
      <w:r w:rsidRPr="00F24809">
        <w:rPr>
          <w:rFonts w:ascii="Times New Roman" w:hAnsi="Times New Roman" w:cs="Times New Roman"/>
          <w:b/>
          <w:bCs/>
          <w:sz w:val="32"/>
          <w:szCs w:val="32"/>
        </w:rPr>
        <w:t xml:space="preserve"> seletuskiri</w:t>
      </w:r>
    </w:p>
    <w:p w14:paraId="36EBC320"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0DA971D4"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b/>
          <w:bCs/>
          <w:sz w:val="24"/>
          <w:szCs w:val="24"/>
        </w:rPr>
        <w:t>1. Seaduse eesmärk ja sissejuhatus</w:t>
      </w:r>
    </w:p>
    <w:p w14:paraId="38808544"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Eesti Pank on viimastel aastatel pööranud oma analüüsides olulist tähelepanu riigis tegutsevate pankade kasumlikkuse, intressimäärade ning konkurentsi teemade analüüsile. Tegemist on väga olulise teemaga, sest ühiskonna õiglustunnet riivas oluliselt pankade kasumlikkus, mille tekitas regulaatori otsus ehk kõrgel püsinud </w:t>
      </w:r>
      <w:proofErr w:type="spellStart"/>
      <w:r w:rsidRPr="00F24809">
        <w:rPr>
          <w:rFonts w:ascii="Times New Roman" w:hAnsi="Times New Roman" w:cs="Times New Roman"/>
          <w:sz w:val="24"/>
          <w:szCs w:val="24"/>
        </w:rPr>
        <w:t>euribori</w:t>
      </w:r>
      <w:proofErr w:type="spellEnd"/>
      <w:r w:rsidRPr="00F24809">
        <w:rPr>
          <w:rFonts w:ascii="Times New Roman" w:hAnsi="Times New Roman" w:cs="Times New Roman"/>
          <w:sz w:val="24"/>
          <w:szCs w:val="24"/>
        </w:rPr>
        <w:t> määr, millega on seotud valdav osa Eestis väljastatud eluasemelaenudest. Nii ulatus Eestis tegutsevate kommertspankade kogukasum 2023. aastal 940 miljoni euroni ning 2024. aastal ligi 1,1 miljardi euroni.</w:t>
      </w:r>
    </w:p>
    <w:p w14:paraId="358564D6"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Eesti Pank on juhtinud tähelepanu, et Eestis tegutsevate pankade kasumlikkuse eesmärgid on kõrged, kus omakapitalilt oodatakse 15–20% tootlust, samas kui OECD riikides on see olnud keskmiselt ligikaudu 8%. keskmine puhaskasumi ja omakapitali suhtarv on nii viimastel aastatel kui ka kogu intressimäärade tsükli jooksul olnud ligikaudu 8%; samuti nenditakse, et uute laenude intressimäärad on viimasel kümnendil olnud valdavalt kõrgemad kui ülejäänud euroalal keskmisena ning selle põhjuseks tuuakse nõrgem konkurents.</w:t>
      </w:r>
    </w:p>
    <w:p w14:paraId="597A2521"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Konkurentsi tõstmise vajadust näevad lisaks Eesti Pangale ja Finantsinspektsioonile ka finantseksperdid ning teema üle on aktiivselt arutletud meedia vahendusel, kuid </w:t>
      </w:r>
      <w:proofErr w:type="spellStart"/>
      <w:r w:rsidRPr="00F24809">
        <w:rPr>
          <w:rFonts w:ascii="Times New Roman" w:hAnsi="Times New Roman" w:cs="Times New Roman"/>
          <w:sz w:val="24"/>
          <w:szCs w:val="24"/>
        </w:rPr>
        <w:t>märgilisi</w:t>
      </w:r>
      <w:proofErr w:type="spellEnd"/>
      <w:r w:rsidRPr="00F24809">
        <w:rPr>
          <w:rFonts w:ascii="Times New Roman" w:hAnsi="Times New Roman" w:cs="Times New Roman"/>
          <w:sz w:val="24"/>
          <w:szCs w:val="24"/>
        </w:rPr>
        <w:t> samme olukorra muutmiseks ei ole Vabariigi Valitsus ega seadusandja pidanud vajalikuks astuda.</w:t>
      </w:r>
    </w:p>
    <w:p w14:paraId="3DEF5674"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Seaduse eesmärgiks on muuta tarbija jaoks oluliselt soodsamaks eluasemelaenu teise panka viimise ning selle regulatiivse tõkke eemaldamisega tõsta konkurentsi Eesti pangandusturul.</w:t>
      </w:r>
    </w:p>
    <w:p w14:paraId="21D47676"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6ED149EE"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b/>
          <w:bCs/>
          <w:sz w:val="24"/>
          <w:szCs w:val="24"/>
        </w:rPr>
        <w:t>2. Eelnõu sisu ja võrdlev analüüs</w:t>
      </w:r>
    </w:p>
    <w:p w14:paraId="6E0E3116"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Eelnõust tuleneva seadusmuudatusega lõpetatakse olukord, kus fikseerimata intressimääraga perioodil elamukinnisvaraga seotud tarbijakrediidilepingu ennetähtaegsel lõpetamisel on krediidiandjal õigus nõuda tarbijalt hüvitiseks kolme kuu intressi juhul kui tarbija teatab lepingu lõpetamisest vähemalt ühe kuu ette.</w:t>
      </w:r>
    </w:p>
    <w:p w14:paraId="317DFC20"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493E1717"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b/>
          <w:bCs/>
          <w:sz w:val="24"/>
          <w:szCs w:val="24"/>
        </w:rPr>
        <w:t>3. Eelnõu terminoloogia</w:t>
      </w:r>
    </w:p>
    <w:p w14:paraId="6E08A16C"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Eelnõuga ei võeta kasutusele uusi termineid.</w:t>
      </w:r>
    </w:p>
    <w:p w14:paraId="5C25A4CB"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2B2FE3A1"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b/>
          <w:bCs/>
          <w:sz w:val="24"/>
          <w:szCs w:val="24"/>
        </w:rPr>
        <w:t>4. Seaduse mõjud</w:t>
      </w:r>
    </w:p>
    <w:p w14:paraId="673C4FD5"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xml:space="preserve">Seadus mõjutab jõustumisel positiivselt konkurentsi Eesti pangandusturul ning võimaldab vältida eluasemelaenu teise panka viimisel hüvitise maksmist. Samuti mõjutab seadus jõustumisel Eesti inimeste finantsiliste teadmiste kasvu, sest paljudel tarbijatel tekib huvi ning motivatsioon võrrelda ja analüüsi eluasemelaenude tingimusi – konkurents ei suurene ainult </w:t>
      </w:r>
      <w:r w:rsidRPr="00F24809">
        <w:rPr>
          <w:rFonts w:ascii="Times New Roman" w:hAnsi="Times New Roman" w:cs="Times New Roman"/>
          <w:sz w:val="24"/>
          <w:szCs w:val="24"/>
        </w:rPr>
        <w:lastRenderedPageBreak/>
        <w:t>uute eluasemelaenude väljastamisel, vaid ka olemasolevate klientide hulgas. Seadus mõjutab positiivselt ka väiksemate krediidiasutuste olukorda, kel tekib võimalus asuda olemasolevate eluasemelaenude turul aktiivselt konkureerima ning seeläbi turuosa kasvatada. </w:t>
      </w:r>
    </w:p>
    <w:p w14:paraId="0FCF8F00"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28E1079B"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b/>
          <w:bCs/>
          <w:sz w:val="24"/>
          <w:szCs w:val="24"/>
        </w:rPr>
        <w:t>5. Seaduse rakendamisega seotud eeldatavad kulud</w:t>
      </w:r>
    </w:p>
    <w:p w14:paraId="5BED9255"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Täiendavaid kulusid seaduse rakendamine kaasa ei too.</w:t>
      </w:r>
    </w:p>
    <w:p w14:paraId="4413BC97"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4436D468"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b/>
          <w:bCs/>
          <w:sz w:val="24"/>
          <w:szCs w:val="24"/>
        </w:rPr>
        <w:t>6. Seaduse kooskõla Euroopa Liidu õigusega</w:t>
      </w:r>
    </w:p>
    <w:p w14:paraId="067F74AC"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Käesolev eelnõu ei ole vastuolus Euroopa Liidu õigusega.</w:t>
      </w:r>
    </w:p>
    <w:p w14:paraId="62ABAA9F"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6EBD822E"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b/>
          <w:bCs/>
          <w:sz w:val="24"/>
          <w:szCs w:val="24"/>
        </w:rPr>
        <w:t>7. Rakendusaktid</w:t>
      </w:r>
    </w:p>
    <w:p w14:paraId="7738188B"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Eelnõu rakendamiseks ja kehtestamiseks ei pea kehtestama ega muutma rakendusakte</w:t>
      </w:r>
      <w:r w:rsidRPr="00F24809">
        <w:rPr>
          <w:rFonts w:ascii="Times New Roman" w:hAnsi="Times New Roman" w:cs="Times New Roman"/>
          <w:b/>
          <w:bCs/>
          <w:sz w:val="24"/>
          <w:szCs w:val="24"/>
        </w:rPr>
        <w:t>.</w:t>
      </w:r>
    </w:p>
    <w:p w14:paraId="3E1273D3"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64F22BB5"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b/>
          <w:bCs/>
          <w:sz w:val="24"/>
          <w:szCs w:val="24"/>
        </w:rPr>
        <w:t>8. Seaduse jõustumine </w:t>
      </w:r>
    </w:p>
    <w:p w14:paraId="3983B897"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Seadus jõustub 2026. aasta 1. jaanuaril. </w:t>
      </w:r>
    </w:p>
    <w:p w14:paraId="0D4D39AC"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66AA3387"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___________________________________________________________________________</w:t>
      </w:r>
    </w:p>
    <w:p w14:paraId="2A87BD27" w14:textId="25FA055B"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Algatab Eesti Keskerakonna fraktsioon​​​​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7A81">
        <w:rPr>
          <w:rFonts w:ascii="Times New Roman" w:hAnsi="Times New Roman" w:cs="Times New Roman"/>
          <w:sz w:val="24"/>
          <w:szCs w:val="24"/>
        </w:rPr>
        <w:t>a</w:t>
      </w:r>
      <w:r w:rsidRPr="00F24809">
        <w:rPr>
          <w:rFonts w:ascii="Times New Roman" w:hAnsi="Times New Roman" w:cs="Times New Roman"/>
          <w:sz w:val="24"/>
          <w:szCs w:val="24"/>
        </w:rPr>
        <w:t>prill 2025</w:t>
      </w:r>
    </w:p>
    <w:p w14:paraId="3470455B"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522172C6"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683CF10A"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Lauri Laats</w:t>
      </w:r>
    </w:p>
    <w:p w14:paraId="04F8080B"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Eesti Keskerakonna fraktsiooni esimees</w:t>
      </w:r>
    </w:p>
    <w:p w14:paraId="55F2CFE1" w14:textId="77777777" w:rsidR="00366A5F" w:rsidRPr="00F24809" w:rsidRDefault="00366A5F" w:rsidP="00F24809">
      <w:pPr>
        <w:jc w:val="both"/>
        <w:rPr>
          <w:rFonts w:ascii="Times New Roman" w:hAnsi="Times New Roman" w:cs="Times New Roman"/>
          <w:sz w:val="24"/>
          <w:szCs w:val="24"/>
        </w:rPr>
      </w:pPr>
    </w:p>
    <w:sectPr w:rsidR="00366A5F" w:rsidRPr="00F24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09"/>
    <w:rsid w:val="000B3E32"/>
    <w:rsid w:val="00366A5F"/>
    <w:rsid w:val="003C7A81"/>
    <w:rsid w:val="00765D01"/>
    <w:rsid w:val="00B63D27"/>
    <w:rsid w:val="00D915C1"/>
    <w:rsid w:val="00F24809"/>
    <w:rsid w:val="00FD15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8C77"/>
  <w15:chartTrackingRefBased/>
  <w15:docId w15:val="{144AE572-CCCF-417A-9F38-BC9A3C31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F24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F24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F2480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F2480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F24809"/>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F24809"/>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24809"/>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F24809"/>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24809"/>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2480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F2480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F24809"/>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F24809"/>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F24809"/>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F24809"/>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F24809"/>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F24809"/>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F24809"/>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F24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2480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2480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24809"/>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24809"/>
    <w:pPr>
      <w:spacing w:before="160"/>
      <w:jc w:val="center"/>
    </w:pPr>
    <w:rPr>
      <w:i/>
      <w:iCs/>
      <w:color w:val="404040" w:themeColor="text1" w:themeTint="BF"/>
    </w:rPr>
  </w:style>
  <w:style w:type="character" w:customStyle="1" w:styleId="TsitaatMrk">
    <w:name w:val="Tsitaat Märk"/>
    <w:basedOn w:val="Liguvaikefont"/>
    <w:link w:val="Tsitaat"/>
    <w:uiPriority w:val="29"/>
    <w:rsid w:val="00F24809"/>
    <w:rPr>
      <w:i/>
      <w:iCs/>
      <w:color w:val="404040" w:themeColor="text1" w:themeTint="BF"/>
    </w:rPr>
  </w:style>
  <w:style w:type="paragraph" w:styleId="Loendilik">
    <w:name w:val="List Paragraph"/>
    <w:basedOn w:val="Normaallaad"/>
    <w:uiPriority w:val="34"/>
    <w:qFormat/>
    <w:rsid w:val="00F24809"/>
    <w:pPr>
      <w:ind w:left="720"/>
      <w:contextualSpacing/>
    </w:pPr>
  </w:style>
  <w:style w:type="character" w:styleId="Selgeltmrgatavrhutus">
    <w:name w:val="Intense Emphasis"/>
    <w:basedOn w:val="Liguvaikefont"/>
    <w:uiPriority w:val="21"/>
    <w:qFormat/>
    <w:rsid w:val="00F24809"/>
    <w:rPr>
      <w:i/>
      <w:iCs/>
      <w:color w:val="0F4761" w:themeColor="accent1" w:themeShade="BF"/>
    </w:rPr>
  </w:style>
  <w:style w:type="paragraph" w:styleId="Selgeltmrgatavtsitaat">
    <w:name w:val="Intense Quote"/>
    <w:basedOn w:val="Normaallaad"/>
    <w:next w:val="Normaallaad"/>
    <w:link w:val="SelgeltmrgatavtsitaatMrk"/>
    <w:uiPriority w:val="30"/>
    <w:qFormat/>
    <w:rsid w:val="00F24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F24809"/>
    <w:rPr>
      <w:i/>
      <w:iCs/>
      <w:color w:val="0F4761" w:themeColor="accent1" w:themeShade="BF"/>
    </w:rPr>
  </w:style>
  <w:style w:type="character" w:styleId="Selgeltmrgatavviide">
    <w:name w:val="Intense Reference"/>
    <w:basedOn w:val="Liguvaikefont"/>
    <w:uiPriority w:val="32"/>
    <w:qFormat/>
    <w:rsid w:val="00F248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859901">
      <w:bodyDiv w:val="1"/>
      <w:marLeft w:val="0"/>
      <w:marRight w:val="0"/>
      <w:marTop w:val="0"/>
      <w:marBottom w:val="0"/>
      <w:divBdr>
        <w:top w:val="none" w:sz="0" w:space="0" w:color="auto"/>
        <w:left w:val="none" w:sz="0" w:space="0" w:color="auto"/>
        <w:bottom w:val="none" w:sz="0" w:space="0" w:color="auto"/>
        <w:right w:val="none" w:sz="0" w:space="0" w:color="auto"/>
      </w:divBdr>
    </w:div>
    <w:div w:id="141250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592</Words>
  <Characters>3439</Characters>
  <Application>Microsoft Office Word</Application>
  <DocSecurity>0</DocSecurity>
  <Lines>28</Lines>
  <Paragraphs>8</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Greta Silberg</cp:lastModifiedBy>
  <cp:revision>1</cp:revision>
  <cp:lastPrinted>2025-04-10T06:13:00Z</cp:lastPrinted>
  <dcterms:created xsi:type="dcterms:W3CDTF">2025-04-10T05:38:00Z</dcterms:created>
  <dcterms:modified xsi:type="dcterms:W3CDTF">2025-04-10T06:15:00Z</dcterms:modified>
</cp:coreProperties>
</file>