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7A0E" w14:textId="4510B8A0" w:rsidR="752DF349" w:rsidRDefault="752DF349" w:rsidP="5682A00B">
      <w:pPr>
        <w:pStyle w:val="Vahedeta"/>
        <w:jc w:val="right"/>
        <w:rPr>
          <w:rFonts w:ascii="Times New Roman" w:eastAsia="Times New Roman" w:hAnsi="Times New Roman" w:cs="Times New Roman"/>
          <w:color w:val="000000" w:themeColor="text1"/>
          <w:sz w:val="24"/>
          <w:szCs w:val="24"/>
        </w:rPr>
      </w:pPr>
      <w:r w:rsidRPr="5682A00B">
        <w:rPr>
          <w:rFonts w:ascii="Times New Roman" w:eastAsia="Times New Roman" w:hAnsi="Times New Roman" w:cs="Times New Roman"/>
          <w:color w:val="000000" w:themeColor="text1"/>
          <w:sz w:val="24"/>
          <w:szCs w:val="24"/>
        </w:rPr>
        <w:t xml:space="preserve">    </w:t>
      </w:r>
      <w:r w:rsidR="3B6949E2" w:rsidRPr="5682A00B">
        <w:rPr>
          <w:rFonts w:ascii="Times New Roman" w:eastAsia="Times New Roman" w:hAnsi="Times New Roman" w:cs="Times New Roman"/>
          <w:color w:val="000000" w:themeColor="text1"/>
          <w:sz w:val="24"/>
          <w:szCs w:val="24"/>
        </w:rPr>
        <w:t xml:space="preserve">Täitemenetluse seadustiku ning tsiviilkohtumenetluse seadustiku ja täitemenetluse </w:t>
      </w:r>
    </w:p>
    <w:p w14:paraId="5AD9EE8C" w14:textId="15DBDB06" w:rsidR="3B6949E2" w:rsidRDefault="3B6949E2" w:rsidP="5682A00B">
      <w:pPr>
        <w:pStyle w:val="Vahedeta"/>
        <w:jc w:val="right"/>
        <w:rPr>
          <w:rFonts w:ascii="Times New Roman" w:eastAsia="Times New Roman" w:hAnsi="Times New Roman" w:cs="Times New Roman"/>
          <w:color w:val="000000" w:themeColor="text1"/>
          <w:sz w:val="24"/>
          <w:szCs w:val="24"/>
        </w:rPr>
      </w:pPr>
      <w:r w:rsidRPr="5682A00B">
        <w:rPr>
          <w:rFonts w:ascii="Times New Roman" w:eastAsia="Times New Roman" w:hAnsi="Times New Roman" w:cs="Times New Roman"/>
          <w:color w:val="000000" w:themeColor="text1"/>
          <w:sz w:val="24"/>
          <w:szCs w:val="24"/>
        </w:rPr>
        <w:t>seadustiku rakendamise seaduse muutmise seaduse eelnõu seletuskirja</w:t>
      </w:r>
      <w:r w:rsidR="49CF3925" w:rsidRPr="5682A00B">
        <w:rPr>
          <w:rFonts w:ascii="Times New Roman" w:eastAsia="Times New Roman" w:hAnsi="Times New Roman" w:cs="Times New Roman"/>
          <w:sz w:val="24"/>
          <w:szCs w:val="24"/>
        </w:rPr>
        <w:t xml:space="preserve"> juurde</w:t>
      </w:r>
    </w:p>
    <w:p w14:paraId="7896E9B8" w14:textId="6A40A95D" w:rsidR="49CF3925" w:rsidRDefault="49CF3925" w:rsidP="5682A00B">
      <w:pPr>
        <w:spacing w:after="0"/>
        <w:jc w:val="right"/>
      </w:pPr>
      <w:r w:rsidRPr="5682A00B">
        <w:rPr>
          <w:rFonts w:ascii="Times New Roman" w:eastAsia="Times New Roman" w:hAnsi="Times New Roman"/>
          <w:sz w:val="24"/>
          <w:szCs w:val="24"/>
        </w:rPr>
        <w:t xml:space="preserve">                                                                                                                                             Lisa </w:t>
      </w:r>
      <w:r w:rsidR="18A77C06" w:rsidRPr="5682A00B">
        <w:rPr>
          <w:rFonts w:ascii="Times New Roman" w:eastAsia="Times New Roman" w:hAnsi="Times New Roman"/>
          <w:sz w:val="24"/>
          <w:szCs w:val="24"/>
        </w:rPr>
        <w:t>2</w:t>
      </w:r>
      <w:r w:rsidRPr="5682A00B">
        <w:rPr>
          <w:rFonts w:ascii="Times New Roman" w:eastAsia="Times New Roman" w:hAnsi="Times New Roman"/>
          <w:sz w:val="24"/>
          <w:szCs w:val="24"/>
        </w:rPr>
        <w:t xml:space="preserve"> </w:t>
      </w:r>
    </w:p>
    <w:p w14:paraId="25B3948F" w14:textId="600D55B5" w:rsidR="49CF3925" w:rsidRDefault="49CF3925" w:rsidP="5682A00B">
      <w:pPr>
        <w:spacing w:after="0"/>
        <w:jc w:val="right"/>
      </w:pPr>
      <w:r w:rsidRPr="5682A00B">
        <w:rPr>
          <w:rFonts w:ascii="Times New Roman" w:eastAsia="Times New Roman" w:hAnsi="Times New Roman"/>
          <w:sz w:val="24"/>
          <w:szCs w:val="24"/>
        </w:rPr>
        <w:t xml:space="preserve"> </w:t>
      </w:r>
    </w:p>
    <w:p w14:paraId="12A392DB" w14:textId="5CA6F74B" w:rsidR="49CF3925" w:rsidRDefault="49CF3925" w:rsidP="5682A00B">
      <w:pPr>
        <w:spacing w:after="0"/>
        <w:jc w:val="right"/>
      </w:pPr>
      <w:r w:rsidRPr="5682A00B">
        <w:rPr>
          <w:rFonts w:ascii="Times New Roman" w:eastAsia="Times New Roman" w:hAnsi="Times New Roman"/>
          <w:sz w:val="24"/>
          <w:szCs w:val="24"/>
        </w:rPr>
        <w:t xml:space="preserve">                                                                                                          KOOSKÕLASTUSTABEL</w:t>
      </w:r>
    </w:p>
    <w:p w14:paraId="2F80F532" w14:textId="3FD7F9A8" w:rsidR="5682A00B" w:rsidRDefault="5682A00B" w:rsidP="5682A00B">
      <w:pPr>
        <w:spacing w:line="240" w:lineRule="auto"/>
        <w:jc w:val="both"/>
        <w:rPr>
          <w:rFonts w:ascii="Times New Roman" w:eastAsia="Times New Roman" w:hAnsi="Times New Roman"/>
          <w:b/>
          <w:bCs/>
          <w:sz w:val="24"/>
          <w:szCs w:val="24"/>
        </w:rPr>
      </w:pPr>
    </w:p>
    <w:p w14:paraId="7E52A316" w14:textId="467C327D" w:rsidR="0063210B" w:rsidRDefault="4CDEC05C" w:rsidP="559A1360">
      <w:pPr>
        <w:spacing w:line="240" w:lineRule="auto"/>
        <w:jc w:val="both"/>
        <w:rPr>
          <w:rFonts w:ascii="Times New Roman" w:eastAsia="Times New Roman" w:hAnsi="Times New Roman"/>
          <w:b/>
          <w:bCs/>
          <w:sz w:val="24"/>
          <w:szCs w:val="24"/>
        </w:rPr>
      </w:pPr>
      <w:r w:rsidRPr="5682A00B">
        <w:rPr>
          <w:rFonts w:ascii="Times New Roman" w:eastAsia="Times New Roman" w:hAnsi="Times New Roman"/>
          <w:b/>
          <w:bCs/>
          <w:sz w:val="24"/>
          <w:szCs w:val="24"/>
        </w:rPr>
        <w:t>Kooskõlastamise käigus esitatud märkused ja ettepanekud</w:t>
      </w:r>
      <w:r w:rsidR="7538738F" w:rsidRPr="5682A00B">
        <w:rPr>
          <w:rFonts w:ascii="Times New Roman" w:eastAsia="Times New Roman" w:hAnsi="Times New Roman"/>
          <w:b/>
          <w:bCs/>
          <w:sz w:val="24"/>
          <w:szCs w:val="24"/>
        </w:rPr>
        <w:t xml:space="preserve"> </w:t>
      </w:r>
      <w:r w:rsidR="2891EC5C" w:rsidRPr="5682A00B">
        <w:rPr>
          <w:rFonts w:ascii="Times New Roman" w:eastAsia="Times New Roman" w:hAnsi="Times New Roman"/>
          <w:b/>
          <w:bCs/>
          <w:sz w:val="24"/>
          <w:szCs w:val="24"/>
        </w:rPr>
        <w:t>t</w:t>
      </w:r>
      <w:r w:rsidR="7538738F" w:rsidRPr="5682A00B">
        <w:rPr>
          <w:rFonts w:ascii="Times New Roman" w:eastAsia="Times New Roman" w:hAnsi="Times New Roman"/>
          <w:b/>
          <w:bCs/>
          <w:sz w:val="24"/>
          <w:szCs w:val="24"/>
        </w:rPr>
        <w:t>äitemenetluse seadustiku ning tsiviilkohtumenetluse seadustiku ja täitemenetluse seadustiku rakendamise seaduse muutmise seaduse eelnõu</w:t>
      </w:r>
      <w:r w:rsidR="6B0E1320" w:rsidRPr="5682A00B">
        <w:rPr>
          <w:rFonts w:ascii="Times New Roman" w:eastAsia="Times New Roman" w:hAnsi="Times New Roman"/>
          <w:b/>
          <w:bCs/>
          <w:sz w:val="24"/>
          <w:szCs w:val="24"/>
        </w:rPr>
        <w:t>le</w:t>
      </w:r>
    </w:p>
    <w:p w14:paraId="09F1D773" w14:textId="1437A879" w:rsidR="253BAB02" w:rsidRDefault="253BAB02" w:rsidP="5682A00B">
      <w:pPr>
        <w:spacing w:line="240" w:lineRule="auto"/>
        <w:jc w:val="both"/>
        <w:rPr>
          <w:rFonts w:ascii="Times New Roman" w:eastAsia="Times New Roman" w:hAnsi="Times New Roman"/>
          <w:b/>
          <w:bCs/>
          <w:sz w:val="24"/>
          <w:szCs w:val="24"/>
        </w:rPr>
      </w:pPr>
      <w:r w:rsidRPr="5682A00B">
        <w:rPr>
          <w:rFonts w:ascii="Times New Roman" w:eastAsia="Times New Roman" w:hAnsi="Times New Roman"/>
          <w:color w:val="000000" w:themeColor="text1"/>
          <w:sz w:val="24"/>
          <w:szCs w:val="24"/>
        </w:rPr>
        <w:t>Eelnõu esitati eelnõude infosüsteemi (EIS) kaudu kooskõlastamiseks ja arvamuse avaldamiseks Õiguskantsleri Kantseleile, Kohtutäiturite ja Pankrotihaldurite Kojale ning Eesti Pangaliidule.</w:t>
      </w:r>
    </w:p>
    <w:p w14:paraId="7BFAF3B1" w14:textId="1432B9A6" w:rsidR="3FDD7780" w:rsidRDefault="3FDD7780" w:rsidP="5682A00B">
      <w:pPr>
        <w:spacing w:line="240" w:lineRule="auto"/>
        <w:jc w:val="both"/>
      </w:pPr>
      <w:r w:rsidRPr="5682A00B">
        <w:rPr>
          <w:rFonts w:ascii="Times New Roman" w:eastAsia="Times New Roman" w:hAnsi="Times New Roman"/>
          <w:color w:val="000000" w:themeColor="text1"/>
          <w:sz w:val="24"/>
          <w:szCs w:val="24"/>
        </w:rPr>
        <w:t>Esitatud sisulisi arvamusi ja ettepanekuid ning nende arvesse võtmist on kajastatud alltoodud kooskõlastustabelis.</w:t>
      </w:r>
    </w:p>
    <w:tbl>
      <w:tblPr>
        <w:tblStyle w:val="Kontuurtabel"/>
        <w:tblW w:w="14130" w:type="dxa"/>
        <w:tblLook w:val="04A0" w:firstRow="1" w:lastRow="0" w:firstColumn="1" w:lastColumn="0" w:noHBand="0" w:noVBand="1"/>
      </w:tblPr>
      <w:tblGrid>
        <w:gridCol w:w="704"/>
        <w:gridCol w:w="7140"/>
        <w:gridCol w:w="6286"/>
      </w:tblGrid>
      <w:tr w:rsidR="0063210B" w14:paraId="2EDC9AE7" w14:textId="77777777" w:rsidTr="5682A00B">
        <w:trPr>
          <w:trHeight w:val="1573"/>
        </w:trPr>
        <w:tc>
          <w:tcPr>
            <w:tcW w:w="704" w:type="dxa"/>
          </w:tcPr>
          <w:p w14:paraId="55B56376" w14:textId="77777777" w:rsidR="0063210B" w:rsidRPr="001B6621" w:rsidRDefault="4CDEC05C" w:rsidP="559A1360">
            <w:pPr>
              <w:spacing w:after="0" w:line="240" w:lineRule="auto"/>
              <w:jc w:val="center"/>
              <w:rPr>
                <w:rFonts w:ascii="Times New Roman" w:eastAsia="Times New Roman" w:hAnsi="Times New Roman"/>
                <w:sz w:val="24"/>
                <w:szCs w:val="24"/>
              </w:rPr>
            </w:pPr>
            <w:proofErr w:type="spellStart"/>
            <w:r w:rsidRPr="559A1360">
              <w:rPr>
                <w:rFonts w:ascii="Times New Roman" w:eastAsia="Times New Roman" w:hAnsi="Times New Roman"/>
                <w:sz w:val="24"/>
                <w:szCs w:val="24"/>
              </w:rPr>
              <w:t>Esi-taja</w:t>
            </w:r>
            <w:proofErr w:type="spellEnd"/>
            <w:r w:rsidRPr="559A1360">
              <w:rPr>
                <w:rFonts w:ascii="Times New Roman" w:eastAsia="Times New Roman" w:hAnsi="Times New Roman"/>
                <w:sz w:val="24"/>
                <w:szCs w:val="24"/>
              </w:rPr>
              <w:t>/</w:t>
            </w:r>
          </w:p>
          <w:p w14:paraId="2AB57F42" w14:textId="77777777" w:rsidR="0063210B" w:rsidRPr="001B6621" w:rsidRDefault="4CDEC05C" w:rsidP="559A1360">
            <w:pPr>
              <w:spacing w:after="0" w:line="240" w:lineRule="auto"/>
              <w:jc w:val="center"/>
              <w:rPr>
                <w:rFonts w:ascii="Times New Roman" w:eastAsia="Times New Roman" w:hAnsi="Times New Roman"/>
                <w:sz w:val="24"/>
                <w:szCs w:val="24"/>
              </w:rPr>
            </w:pPr>
            <w:r w:rsidRPr="559A1360">
              <w:rPr>
                <w:rFonts w:ascii="Times New Roman" w:eastAsia="Times New Roman" w:hAnsi="Times New Roman"/>
                <w:sz w:val="24"/>
                <w:szCs w:val="24"/>
              </w:rPr>
              <w:t>Jrk</w:t>
            </w:r>
          </w:p>
          <w:p w14:paraId="439D539B" w14:textId="0FDFD534" w:rsidR="0063210B" w:rsidRDefault="4CDEC05C" w:rsidP="559A1360">
            <w:pPr>
              <w:spacing w:line="240" w:lineRule="auto"/>
              <w:jc w:val="center"/>
              <w:rPr>
                <w:rFonts w:ascii="Times New Roman" w:eastAsia="Times New Roman" w:hAnsi="Times New Roman"/>
                <w:sz w:val="24"/>
                <w:szCs w:val="24"/>
              </w:rPr>
            </w:pPr>
            <w:r w:rsidRPr="559A1360">
              <w:rPr>
                <w:rFonts w:ascii="Times New Roman" w:eastAsia="Times New Roman" w:hAnsi="Times New Roman"/>
                <w:sz w:val="24"/>
                <w:szCs w:val="24"/>
              </w:rPr>
              <w:t>Nr.</w:t>
            </w:r>
          </w:p>
        </w:tc>
        <w:tc>
          <w:tcPr>
            <w:tcW w:w="7140" w:type="dxa"/>
          </w:tcPr>
          <w:p w14:paraId="059D2725" w14:textId="6092613C" w:rsidR="0063210B" w:rsidRDefault="4CDEC05C" w:rsidP="559A1360">
            <w:pPr>
              <w:spacing w:line="240" w:lineRule="auto"/>
              <w:rPr>
                <w:rFonts w:ascii="Times New Roman" w:eastAsia="Times New Roman" w:hAnsi="Times New Roman"/>
                <w:sz w:val="24"/>
                <w:szCs w:val="24"/>
              </w:rPr>
            </w:pPr>
            <w:r w:rsidRPr="559A1360">
              <w:rPr>
                <w:rFonts w:ascii="Times New Roman" w:eastAsia="Times New Roman" w:hAnsi="Times New Roman"/>
                <w:sz w:val="24"/>
                <w:szCs w:val="24"/>
              </w:rPr>
              <w:t>Märkuse või ettepaneku sisu</w:t>
            </w:r>
          </w:p>
        </w:tc>
        <w:tc>
          <w:tcPr>
            <w:tcW w:w="6286" w:type="dxa"/>
          </w:tcPr>
          <w:p w14:paraId="7A32EB2E" w14:textId="77777777" w:rsidR="0063210B" w:rsidRPr="001B6621" w:rsidRDefault="4CDEC05C" w:rsidP="559A1360">
            <w:pPr>
              <w:spacing w:after="0" w:line="240" w:lineRule="auto"/>
              <w:jc w:val="both"/>
              <w:rPr>
                <w:rFonts w:ascii="Times New Roman" w:eastAsia="Times New Roman" w:hAnsi="Times New Roman"/>
                <w:sz w:val="24"/>
                <w:szCs w:val="24"/>
              </w:rPr>
            </w:pPr>
            <w:r w:rsidRPr="559A1360">
              <w:rPr>
                <w:rFonts w:ascii="Times New Roman" w:eastAsia="Times New Roman" w:hAnsi="Times New Roman"/>
                <w:sz w:val="24"/>
                <w:szCs w:val="24"/>
              </w:rPr>
              <w:t xml:space="preserve">JM seisukohad/vastused </w:t>
            </w:r>
          </w:p>
          <w:p w14:paraId="0E75312F" w14:textId="77777777" w:rsidR="0063210B" w:rsidRPr="001B6621" w:rsidRDefault="0063210B" w:rsidP="559A1360">
            <w:pPr>
              <w:spacing w:after="0" w:line="240" w:lineRule="auto"/>
              <w:jc w:val="both"/>
              <w:rPr>
                <w:rFonts w:ascii="Times New Roman" w:eastAsia="Times New Roman" w:hAnsi="Times New Roman"/>
                <w:sz w:val="24"/>
                <w:szCs w:val="24"/>
              </w:rPr>
            </w:pPr>
          </w:p>
          <w:p w14:paraId="40EC9A16" w14:textId="77777777" w:rsidR="0063210B" w:rsidRPr="001B6621" w:rsidRDefault="4CDEC05C" w:rsidP="559A1360">
            <w:pPr>
              <w:spacing w:after="0" w:line="240" w:lineRule="auto"/>
              <w:jc w:val="both"/>
              <w:rPr>
                <w:rFonts w:ascii="Times New Roman" w:eastAsia="Times New Roman" w:hAnsi="Times New Roman"/>
                <w:sz w:val="24"/>
                <w:szCs w:val="24"/>
              </w:rPr>
            </w:pPr>
            <w:r w:rsidRPr="559A1360">
              <w:rPr>
                <w:rFonts w:ascii="Times New Roman" w:eastAsia="Times New Roman" w:hAnsi="Times New Roman"/>
                <w:sz w:val="24"/>
                <w:szCs w:val="24"/>
              </w:rPr>
              <w:t xml:space="preserve">A - arvestatud </w:t>
            </w:r>
          </w:p>
          <w:p w14:paraId="4FE018CE" w14:textId="77777777" w:rsidR="0063210B" w:rsidRPr="001B6621" w:rsidRDefault="4CDEC05C" w:rsidP="559A1360">
            <w:pPr>
              <w:spacing w:after="0" w:line="240" w:lineRule="auto"/>
              <w:jc w:val="both"/>
              <w:rPr>
                <w:rFonts w:ascii="Times New Roman" w:eastAsia="Times New Roman" w:hAnsi="Times New Roman"/>
                <w:sz w:val="24"/>
                <w:szCs w:val="24"/>
              </w:rPr>
            </w:pPr>
            <w:r w:rsidRPr="559A1360">
              <w:rPr>
                <w:rFonts w:ascii="Times New Roman" w:eastAsia="Times New Roman" w:hAnsi="Times New Roman"/>
                <w:sz w:val="24"/>
                <w:szCs w:val="24"/>
              </w:rPr>
              <w:t>OA – osaliselt arvestatud</w:t>
            </w:r>
          </w:p>
          <w:p w14:paraId="6324765E" w14:textId="77777777" w:rsidR="0063210B" w:rsidRPr="001B6621" w:rsidRDefault="4CDEC05C" w:rsidP="559A1360">
            <w:pPr>
              <w:spacing w:after="0" w:line="240" w:lineRule="auto"/>
              <w:jc w:val="both"/>
              <w:rPr>
                <w:rFonts w:ascii="Times New Roman" w:eastAsia="Times New Roman" w:hAnsi="Times New Roman"/>
                <w:sz w:val="24"/>
                <w:szCs w:val="24"/>
              </w:rPr>
            </w:pPr>
            <w:r w:rsidRPr="559A1360">
              <w:rPr>
                <w:rFonts w:ascii="Times New Roman" w:eastAsia="Times New Roman" w:hAnsi="Times New Roman"/>
                <w:sz w:val="24"/>
                <w:szCs w:val="24"/>
              </w:rPr>
              <w:t>MA – mitte arvestatud</w:t>
            </w:r>
          </w:p>
          <w:p w14:paraId="08DDE4B2" w14:textId="77777777" w:rsidR="0063210B" w:rsidRPr="001B6621" w:rsidRDefault="4CDEC05C" w:rsidP="559A1360">
            <w:pPr>
              <w:spacing w:after="0" w:line="240" w:lineRule="auto"/>
              <w:jc w:val="both"/>
              <w:rPr>
                <w:rFonts w:ascii="Times New Roman" w:eastAsia="Times New Roman" w:hAnsi="Times New Roman"/>
                <w:sz w:val="24"/>
                <w:szCs w:val="24"/>
              </w:rPr>
            </w:pPr>
            <w:r w:rsidRPr="559A1360">
              <w:rPr>
                <w:rFonts w:ascii="Times New Roman" w:eastAsia="Times New Roman" w:hAnsi="Times New Roman"/>
                <w:sz w:val="24"/>
                <w:szCs w:val="24"/>
              </w:rPr>
              <w:t>S – selgitatud</w:t>
            </w:r>
          </w:p>
          <w:p w14:paraId="78F37501" w14:textId="439B2D65" w:rsidR="0063210B" w:rsidRDefault="4CDEC05C" w:rsidP="559A1360">
            <w:pPr>
              <w:spacing w:line="240" w:lineRule="auto"/>
              <w:rPr>
                <w:rFonts w:ascii="Times New Roman" w:eastAsia="Times New Roman" w:hAnsi="Times New Roman"/>
                <w:sz w:val="24"/>
                <w:szCs w:val="24"/>
              </w:rPr>
            </w:pPr>
            <w:r w:rsidRPr="559A1360">
              <w:rPr>
                <w:rFonts w:ascii="Times New Roman" w:eastAsia="Times New Roman" w:hAnsi="Times New Roman"/>
                <w:sz w:val="24"/>
                <w:szCs w:val="24"/>
              </w:rPr>
              <w:t>TV – teadmiseks võetud (kui märkuses puudub konkreetne ettepanek)</w:t>
            </w:r>
          </w:p>
        </w:tc>
      </w:tr>
      <w:tr w:rsidR="0063210B" w14:paraId="29086C3C" w14:textId="77777777" w:rsidTr="5682A00B">
        <w:tc>
          <w:tcPr>
            <w:tcW w:w="14130" w:type="dxa"/>
            <w:gridSpan w:val="3"/>
          </w:tcPr>
          <w:p w14:paraId="39A278FE" w14:textId="5E75FE4E" w:rsidR="0063210B" w:rsidRPr="0063210B" w:rsidRDefault="47E3F433" w:rsidP="559A1360">
            <w:pPr>
              <w:spacing w:line="240" w:lineRule="auto"/>
              <w:rPr>
                <w:rFonts w:ascii="Times New Roman" w:eastAsia="Times New Roman" w:hAnsi="Times New Roman"/>
                <w:b/>
                <w:bCs/>
                <w:sz w:val="24"/>
                <w:szCs w:val="24"/>
              </w:rPr>
            </w:pPr>
            <w:r w:rsidRPr="559A1360">
              <w:rPr>
                <w:rFonts w:ascii="Times New Roman" w:eastAsia="Times New Roman" w:hAnsi="Times New Roman"/>
                <w:b/>
                <w:bCs/>
                <w:color w:val="2D2C2D"/>
                <w:sz w:val="24"/>
                <w:szCs w:val="24"/>
              </w:rPr>
              <w:t>Kohtutäiturite ja Pankrotihaldurite Koda</w:t>
            </w:r>
          </w:p>
        </w:tc>
      </w:tr>
      <w:tr w:rsidR="0063210B" w14:paraId="074A8BA1" w14:textId="77777777" w:rsidTr="5682A00B">
        <w:tc>
          <w:tcPr>
            <w:tcW w:w="704" w:type="dxa"/>
          </w:tcPr>
          <w:p w14:paraId="432D09F8" w14:textId="3DA74E7F" w:rsidR="0063210B" w:rsidRDefault="0063210B" w:rsidP="559A1360">
            <w:pPr>
              <w:pStyle w:val="Loendilik"/>
              <w:numPr>
                <w:ilvl w:val="0"/>
                <w:numId w:val="1"/>
              </w:numPr>
              <w:spacing w:line="240" w:lineRule="auto"/>
              <w:rPr>
                <w:rFonts w:ascii="Times New Roman" w:eastAsia="Times New Roman" w:hAnsi="Times New Roman"/>
                <w:sz w:val="24"/>
                <w:szCs w:val="24"/>
              </w:rPr>
            </w:pPr>
          </w:p>
        </w:tc>
        <w:tc>
          <w:tcPr>
            <w:tcW w:w="7140" w:type="dxa"/>
          </w:tcPr>
          <w:p w14:paraId="2E9B1501" w14:textId="01916821" w:rsidR="0063210B" w:rsidRDefault="47E3F433" w:rsidP="559A1360">
            <w:pPr>
              <w:spacing w:line="240" w:lineRule="auto"/>
              <w:jc w:val="both"/>
              <w:rPr>
                <w:rFonts w:ascii="Times New Roman" w:eastAsia="Times New Roman" w:hAnsi="Times New Roman"/>
                <w:sz w:val="24"/>
                <w:szCs w:val="24"/>
              </w:rPr>
            </w:pPr>
            <w:r w:rsidRPr="559A1360">
              <w:rPr>
                <w:rFonts w:ascii="Times New Roman" w:eastAsia="Times New Roman" w:hAnsi="Times New Roman"/>
                <w:sz w:val="24"/>
                <w:szCs w:val="24"/>
              </w:rPr>
              <w:t>Kuivõrd eelnõuga kavandatakse anda loetelu isikute ja andmete kategooriatest, milliseid Koja peetavas infosüsteemis töödeldakse, teeme ettepaneku esitada see ammendavalt ja vastavuses tegeliku olukorraga. Teeme ettepaneku täiendada eelnõuga kavandatava TMS § 63</w:t>
            </w:r>
            <w:r w:rsidRPr="559A1360">
              <w:rPr>
                <w:rFonts w:ascii="Times New Roman" w:eastAsia="Times New Roman" w:hAnsi="Times New Roman"/>
                <w:sz w:val="24"/>
                <w:szCs w:val="24"/>
                <w:vertAlign w:val="superscript"/>
              </w:rPr>
              <w:t>2</w:t>
            </w:r>
            <w:r w:rsidRPr="559A1360">
              <w:rPr>
                <w:rFonts w:ascii="Times New Roman" w:eastAsia="Times New Roman" w:hAnsi="Times New Roman"/>
                <w:sz w:val="24"/>
                <w:szCs w:val="24"/>
              </w:rPr>
              <w:t xml:space="preserve"> lg 2</w:t>
            </w:r>
            <w:r w:rsidRPr="559A1360">
              <w:rPr>
                <w:rFonts w:ascii="Times New Roman" w:eastAsia="Times New Roman" w:hAnsi="Times New Roman"/>
                <w:sz w:val="24"/>
                <w:szCs w:val="24"/>
                <w:vertAlign w:val="superscript"/>
              </w:rPr>
              <w:t>1</w:t>
            </w:r>
            <w:r w:rsidRPr="559A1360">
              <w:rPr>
                <w:rFonts w:ascii="Times New Roman" w:eastAsia="Times New Roman" w:hAnsi="Times New Roman"/>
                <w:sz w:val="24"/>
                <w:szCs w:val="24"/>
              </w:rPr>
              <w:t xml:space="preserve"> loetelu järgmiste punktidega:</w:t>
            </w:r>
          </w:p>
          <w:p w14:paraId="58CC1B4F" w14:textId="45B7AFF8" w:rsidR="0063210B" w:rsidRDefault="47E3F433" w:rsidP="559A1360">
            <w:pPr>
              <w:spacing w:line="240" w:lineRule="auto"/>
              <w:jc w:val="both"/>
              <w:rPr>
                <w:rFonts w:ascii="Times New Roman" w:eastAsia="Times New Roman" w:hAnsi="Times New Roman"/>
                <w:sz w:val="24"/>
                <w:szCs w:val="24"/>
              </w:rPr>
            </w:pPr>
            <w:r w:rsidRPr="559A1360">
              <w:rPr>
                <w:rFonts w:ascii="Times New Roman" w:eastAsia="Times New Roman" w:hAnsi="Times New Roman"/>
                <w:sz w:val="24"/>
                <w:szCs w:val="24"/>
              </w:rPr>
              <w:t>„8) võlgniku tööandjaks oleva isiku üldandmed;</w:t>
            </w:r>
          </w:p>
          <w:p w14:paraId="2C775608" w14:textId="0E11A2CF" w:rsidR="0063210B" w:rsidRDefault="47E3F433" w:rsidP="559A1360">
            <w:pPr>
              <w:spacing w:line="240" w:lineRule="auto"/>
              <w:jc w:val="both"/>
              <w:rPr>
                <w:rFonts w:ascii="Times New Roman" w:eastAsia="Times New Roman" w:hAnsi="Times New Roman"/>
                <w:sz w:val="24"/>
                <w:szCs w:val="24"/>
              </w:rPr>
            </w:pPr>
            <w:r w:rsidRPr="559A1360">
              <w:rPr>
                <w:rFonts w:ascii="Times New Roman" w:eastAsia="Times New Roman" w:hAnsi="Times New Roman"/>
                <w:sz w:val="24"/>
                <w:szCs w:val="24"/>
              </w:rPr>
              <w:lastRenderedPageBreak/>
              <w:t>9) ametiülesannete täitmise tõttu infosüsteemi kasutajaks registreeritud isikute üldandmed“.</w:t>
            </w:r>
          </w:p>
          <w:p w14:paraId="31E45692" w14:textId="36DE32F5" w:rsidR="0063210B" w:rsidRDefault="47E3F433" w:rsidP="559A1360">
            <w:pPr>
              <w:spacing w:line="240" w:lineRule="auto"/>
              <w:jc w:val="both"/>
              <w:rPr>
                <w:rFonts w:ascii="Times New Roman" w:eastAsia="Times New Roman" w:hAnsi="Times New Roman"/>
                <w:sz w:val="24"/>
                <w:szCs w:val="24"/>
              </w:rPr>
            </w:pPr>
            <w:r w:rsidRPr="559A1360">
              <w:rPr>
                <w:rFonts w:ascii="Times New Roman" w:eastAsia="Times New Roman" w:hAnsi="Times New Roman"/>
                <w:sz w:val="24"/>
                <w:szCs w:val="24"/>
              </w:rPr>
              <w:t>Punkti 8 alternatiivina on peame võimalikuks täiendada punkti 3 sõnastust ja sõnastada see järgmiselt: „õigustatud, kohustatud ja kolmandate isikute üldandmed;“. Samuti palume täiendada punkti 4 nii, et lisaks andmetele võlgniku töötamise, õppimise ja vara kohta loetletaks töödeldavate andmetena ka andmed võlgniku kinnipidamisasutuses viibimise ja isikut tõendavate dokumentide kohta. Märkusena palume korrigeerida eelnõus märgitud alumine punkt 6 punktiks 7.</w:t>
            </w:r>
          </w:p>
        </w:tc>
        <w:tc>
          <w:tcPr>
            <w:tcW w:w="6286" w:type="dxa"/>
          </w:tcPr>
          <w:p w14:paraId="1FD9F2F6" w14:textId="4920A262" w:rsidR="0063210B" w:rsidRDefault="00100C62" w:rsidP="559A136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MA</w:t>
            </w:r>
            <w:r w:rsidR="77F2B079" w:rsidRPr="6F0F339C">
              <w:rPr>
                <w:rFonts w:ascii="Times New Roman" w:eastAsia="Times New Roman" w:hAnsi="Times New Roman"/>
                <w:sz w:val="24"/>
                <w:szCs w:val="24"/>
              </w:rPr>
              <w:t xml:space="preserve">. </w:t>
            </w:r>
            <w:r w:rsidR="370AB47A" w:rsidRPr="6F0F339C">
              <w:rPr>
                <w:rFonts w:ascii="Times New Roman" w:eastAsia="Times New Roman" w:hAnsi="Times New Roman"/>
                <w:sz w:val="24"/>
                <w:szCs w:val="24"/>
              </w:rPr>
              <w:t>Selgitame, et s</w:t>
            </w:r>
            <w:r w:rsidR="144C2082" w:rsidRPr="6F0F339C">
              <w:rPr>
                <w:rFonts w:ascii="Times New Roman" w:eastAsia="Times New Roman" w:hAnsi="Times New Roman"/>
                <w:sz w:val="24"/>
                <w:szCs w:val="24"/>
              </w:rPr>
              <w:t>eaduse tasandil tuleb välja tuua üksnes töödeldava</w:t>
            </w:r>
            <w:r w:rsidR="5B4B27BB" w:rsidRPr="6F0F339C">
              <w:rPr>
                <w:rFonts w:ascii="Times New Roman" w:eastAsia="Times New Roman" w:hAnsi="Times New Roman"/>
                <w:sz w:val="24"/>
                <w:szCs w:val="24"/>
              </w:rPr>
              <w:t>d</w:t>
            </w:r>
            <w:r w:rsidR="144C2082" w:rsidRPr="6F0F339C">
              <w:rPr>
                <w:rFonts w:ascii="Times New Roman" w:eastAsia="Times New Roman" w:hAnsi="Times New Roman"/>
                <w:sz w:val="24"/>
                <w:szCs w:val="24"/>
              </w:rPr>
              <w:t xml:space="preserve"> isikuandme</w:t>
            </w:r>
            <w:r w:rsidR="683B3D9E" w:rsidRPr="6F0F339C">
              <w:rPr>
                <w:rFonts w:ascii="Times New Roman" w:eastAsia="Times New Roman" w:hAnsi="Times New Roman"/>
                <w:sz w:val="24"/>
                <w:szCs w:val="24"/>
              </w:rPr>
              <w:t>d</w:t>
            </w:r>
            <w:r w:rsidR="0828219D" w:rsidRPr="6F0F339C">
              <w:rPr>
                <w:rFonts w:ascii="Times New Roman" w:eastAsia="Times New Roman" w:hAnsi="Times New Roman"/>
                <w:sz w:val="24"/>
                <w:szCs w:val="24"/>
              </w:rPr>
              <w:t xml:space="preserve">, st need isikuandmed, mida on vaja töödelda andmekogu pidamise eesmärgil. Tööandjaks ei saa olla eraisik, seega ei ole vaja seaduse tasandil tööandja andmeid andmekategooriana välja tuua. </w:t>
            </w:r>
            <w:r w:rsidR="4DA0B562" w:rsidRPr="6F0F339C">
              <w:rPr>
                <w:rFonts w:ascii="Times New Roman" w:eastAsia="Times New Roman" w:hAnsi="Times New Roman"/>
                <w:sz w:val="24"/>
                <w:szCs w:val="24"/>
              </w:rPr>
              <w:t xml:space="preserve">Kuna andmekogu peetakse andmekogu pidamise eesmärgina välja toodud ülesande täitmise lihtsustamiseks, siis selle ülesande täitmiseks on </w:t>
            </w:r>
            <w:r w:rsidR="13648BBA" w:rsidRPr="6F0F339C">
              <w:rPr>
                <w:rFonts w:ascii="Times New Roman" w:eastAsia="Times New Roman" w:hAnsi="Times New Roman"/>
                <w:sz w:val="24"/>
                <w:szCs w:val="24"/>
              </w:rPr>
              <w:lastRenderedPageBreak/>
              <w:t xml:space="preserve">vajalik, et seda ülesannet täitvatele töötajatele ja ametnikele oleks </w:t>
            </w:r>
            <w:r w:rsidR="4DA0B562" w:rsidRPr="6F0F339C">
              <w:rPr>
                <w:rFonts w:ascii="Times New Roman" w:eastAsia="Times New Roman" w:hAnsi="Times New Roman"/>
                <w:sz w:val="24"/>
                <w:szCs w:val="24"/>
              </w:rPr>
              <w:t>tagatud</w:t>
            </w:r>
            <w:r w:rsidR="67B0E08E" w:rsidRPr="6F0F339C">
              <w:rPr>
                <w:rFonts w:ascii="Times New Roman" w:eastAsia="Times New Roman" w:hAnsi="Times New Roman"/>
                <w:sz w:val="24"/>
                <w:szCs w:val="24"/>
              </w:rPr>
              <w:t xml:space="preserve"> juurdepääs andmekogule.</w:t>
            </w:r>
            <w:r w:rsidR="4DA0B562" w:rsidRPr="6F0F339C">
              <w:rPr>
                <w:rFonts w:ascii="Times New Roman" w:eastAsia="Times New Roman" w:hAnsi="Times New Roman"/>
                <w:sz w:val="24"/>
                <w:szCs w:val="24"/>
              </w:rPr>
              <w:t xml:space="preserve"> </w:t>
            </w:r>
            <w:r w:rsidR="144C2082" w:rsidRPr="6F0F339C">
              <w:rPr>
                <w:rFonts w:ascii="Times New Roman" w:eastAsia="Times New Roman" w:hAnsi="Times New Roman"/>
                <w:sz w:val="24"/>
                <w:szCs w:val="24"/>
              </w:rPr>
              <w:t xml:space="preserve"> </w:t>
            </w:r>
            <w:r w:rsidR="5FB0E59B" w:rsidRPr="6F0F339C">
              <w:rPr>
                <w:rFonts w:ascii="Times New Roman" w:eastAsia="Times New Roman" w:hAnsi="Times New Roman"/>
                <w:sz w:val="24"/>
                <w:szCs w:val="24"/>
              </w:rPr>
              <w:t>Samas ei ole töötajate ja ametnike andmete töötlemine vajalik ülesande täitmiseks. Seetõttu ei kajastata seaduse tasandil isikuandmete kategooriate all andmekogu kaudu oma tööülesandeid täitvate isikute andmeid.</w:t>
            </w:r>
            <w:r w:rsidR="443FC9D1" w:rsidRPr="6F0F339C">
              <w:rPr>
                <w:rFonts w:ascii="Times New Roman" w:eastAsia="Times New Roman" w:hAnsi="Times New Roman"/>
                <w:sz w:val="24"/>
                <w:szCs w:val="24"/>
              </w:rPr>
              <w:t xml:space="preserve"> Küll aga juhime tähelepanu, et ka sätte sõnastus toob välja, et loetletud on just isikuandmete kategooriad, mitte kõigi andmekogus töödeldavate andmete kategooriad.</w:t>
            </w:r>
          </w:p>
        </w:tc>
      </w:tr>
      <w:tr w:rsidR="0063210B" w14:paraId="5F4BF3B2" w14:textId="77777777" w:rsidTr="5682A00B">
        <w:tc>
          <w:tcPr>
            <w:tcW w:w="704" w:type="dxa"/>
          </w:tcPr>
          <w:p w14:paraId="51DB652C" w14:textId="59EF2081" w:rsidR="0063210B" w:rsidRDefault="0063210B" w:rsidP="559A1360">
            <w:pPr>
              <w:pStyle w:val="Loendilik"/>
              <w:numPr>
                <w:ilvl w:val="0"/>
                <w:numId w:val="1"/>
              </w:numPr>
              <w:spacing w:line="240" w:lineRule="auto"/>
              <w:rPr>
                <w:rFonts w:ascii="Times New Roman" w:eastAsia="Times New Roman" w:hAnsi="Times New Roman"/>
                <w:sz w:val="24"/>
                <w:szCs w:val="24"/>
              </w:rPr>
            </w:pPr>
          </w:p>
        </w:tc>
        <w:tc>
          <w:tcPr>
            <w:tcW w:w="7140" w:type="dxa"/>
          </w:tcPr>
          <w:p w14:paraId="44F311E5" w14:textId="77777777" w:rsidR="0063210B" w:rsidRDefault="0B755EA7" w:rsidP="559A1360">
            <w:pPr>
              <w:spacing w:after="0" w:line="240" w:lineRule="auto"/>
              <w:jc w:val="both"/>
              <w:rPr>
                <w:rFonts w:ascii="Times New Roman" w:eastAsia="Times New Roman" w:hAnsi="Times New Roman"/>
                <w:sz w:val="24"/>
                <w:szCs w:val="24"/>
              </w:rPr>
            </w:pPr>
            <w:r w:rsidRPr="70044D67">
              <w:rPr>
                <w:rFonts w:ascii="Times New Roman" w:eastAsia="Times New Roman" w:hAnsi="Times New Roman"/>
                <w:sz w:val="24"/>
                <w:szCs w:val="24"/>
              </w:rPr>
              <w:t xml:space="preserve">Ilmselt on vajalik õiguslikult täpsustada, millistel juhtudel peab inimene andmejälgija kaudu saama teavet eelnõuga kavandatava </w:t>
            </w:r>
            <w:r w:rsidR="7E069971" w:rsidRPr="70044D67">
              <w:rPr>
                <w:rFonts w:ascii="Times New Roman" w:eastAsia="Times New Roman" w:hAnsi="Times New Roman"/>
                <w:sz w:val="24"/>
                <w:szCs w:val="24"/>
              </w:rPr>
              <w:t>täitemene</w:t>
            </w:r>
            <w:r w:rsidR="374452A8" w:rsidRPr="70044D67">
              <w:rPr>
                <w:rFonts w:ascii="Times New Roman" w:eastAsia="Times New Roman" w:hAnsi="Times New Roman"/>
                <w:sz w:val="24"/>
                <w:szCs w:val="24"/>
              </w:rPr>
              <w:t>t</w:t>
            </w:r>
            <w:r w:rsidR="7E069971" w:rsidRPr="70044D67">
              <w:rPr>
                <w:rFonts w:ascii="Times New Roman" w:eastAsia="Times New Roman" w:hAnsi="Times New Roman"/>
                <w:sz w:val="24"/>
                <w:szCs w:val="24"/>
              </w:rPr>
              <w:t xml:space="preserve">luse </w:t>
            </w:r>
            <w:r w:rsidR="1F549B4C" w:rsidRPr="70044D67">
              <w:rPr>
                <w:rFonts w:ascii="Times New Roman" w:eastAsia="Times New Roman" w:hAnsi="Times New Roman"/>
                <w:sz w:val="24"/>
                <w:szCs w:val="24"/>
              </w:rPr>
              <w:t xml:space="preserve">seadustiku </w:t>
            </w:r>
            <w:r w:rsidR="2D137B0F" w:rsidRPr="70044D67">
              <w:rPr>
                <w:rFonts w:ascii="Times New Roman" w:eastAsia="Times New Roman" w:hAnsi="Times New Roman"/>
                <w:sz w:val="24"/>
                <w:szCs w:val="24"/>
              </w:rPr>
              <w:t>(</w:t>
            </w:r>
            <w:r w:rsidRPr="70044D67">
              <w:rPr>
                <w:rFonts w:ascii="Times New Roman" w:eastAsia="Times New Roman" w:hAnsi="Times New Roman"/>
                <w:sz w:val="24"/>
                <w:szCs w:val="24"/>
              </w:rPr>
              <w:t>TMS</w:t>
            </w:r>
            <w:r w:rsidR="2509F2DD" w:rsidRPr="70044D67">
              <w:rPr>
                <w:rFonts w:ascii="Times New Roman" w:eastAsia="Times New Roman" w:hAnsi="Times New Roman"/>
                <w:sz w:val="24"/>
                <w:szCs w:val="24"/>
              </w:rPr>
              <w:t>)</w:t>
            </w:r>
            <w:r w:rsidRPr="70044D67">
              <w:rPr>
                <w:rFonts w:ascii="Times New Roman" w:eastAsia="Times New Roman" w:hAnsi="Times New Roman"/>
                <w:sz w:val="24"/>
                <w:szCs w:val="24"/>
              </w:rPr>
              <w:t xml:space="preserve"> § 63 lõike 2</w:t>
            </w:r>
            <w:r w:rsidRPr="70044D67">
              <w:rPr>
                <w:rFonts w:ascii="Times New Roman" w:eastAsia="Times New Roman" w:hAnsi="Times New Roman"/>
                <w:sz w:val="24"/>
                <w:szCs w:val="24"/>
                <w:vertAlign w:val="superscript"/>
              </w:rPr>
              <w:t>1</w:t>
            </w:r>
            <w:r w:rsidRPr="70044D67">
              <w:rPr>
                <w:rFonts w:ascii="Times New Roman" w:eastAsia="Times New Roman" w:hAnsi="Times New Roman"/>
                <w:sz w:val="24"/>
                <w:szCs w:val="24"/>
              </w:rPr>
              <w:t xml:space="preserve"> kohaste päringute kohta. Peame silmas, et kohtutäiturite ja teiste täitmisregistri kaudu päringuid sooritavate isikute tehtavad päringud alluvad erinevale õiguslikule režiimile ja TMS kaudu ei ole otstarbekas sätestada, millal ja millisel kujul tuleb inimese kohta andmete saamiseks tehtud päring avalikustada. Teeme ettepaneku täiendada eelnõuga kavandatava TMS § 63</w:t>
            </w:r>
            <w:r w:rsidRPr="70044D67">
              <w:rPr>
                <w:rFonts w:ascii="Times New Roman" w:eastAsia="Times New Roman" w:hAnsi="Times New Roman"/>
                <w:sz w:val="24"/>
                <w:szCs w:val="24"/>
                <w:vertAlign w:val="superscript"/>
              </w:rPr>
              <w:t>2</w:t>
            </w:r>
            <w:r w:rsidRPr="70044D67">
              <w:rPr>
                <w:rFonts w:ascii="Times New Roman" w:eastAsia="Times New Roman" w:hAnsi="Times New Roman"/>
                <w:sz w:val="24"/>
                <w:szCs w:val="24"/>
              </w:rPr>
              <w:t xml:space="preserve"> lg 2</w:t>
            </w:r>
            <w:r w:rsidRPr="70044D67">
              <w:rPr>
                <w:rFonts w:ascii="Times New Roman" w:eastAsia="Times New Roman" w:hAnsi="Times New Roman"/>
                <w:sz w:val="24"/>
                <w:szCs w:val="24"/>
                <w:vertAlign w:val="superscript"/>
              </w:rPr>
              <w:t>4</w:t>
            </w:r>
            <w:r w:rsidRPr="70044D67">
              <w:rPr>
                <w:rFonts w:ascii="Times New Roman" w:eastAsia="Times New Roman" w:hAnsi="Times New Roman"/>
                <w:sz w:val="24"/>
                <w:szCs w:val="24"/>
              </w:rPr>
              <w:t xml:space="preserve"> sõnastust ja sõnastada see tervikuna selliselt: „2</w:t>
            </w:r>
            <w:r w:rsidRPr="70044D67">
              <w:rPr>
                <w:rFonts w:ascii="Times New Roman" w:eastAsia="Times New Roman" w:hAnsi="Times New Roman"/>
                <w:sz w:val="24"/>
                <w:szCs w:val="24"/>
                <w:vertAlign w:val="superscript"/>
              </w:rPr>
              <w:t>4</w:t>
            </w:r>
            <w:r w:rsidRPr="70044D67">
              <w:rPr>
                <w:rFonts w:ascii="Times New Roman" w:eastAsia="Times New Roman" w:hAnsi="Times New Roman"/>
                <w:sz w:val="24"/>
                <w:szCs w:val="24"/>
              </w:rPr>
              <w:t>) andmetele juurdepääsu ja andmete väljastamise, samuti isikule tema kohta täitmisregistri kaudu tehtud päringute kohta teabe kuvamise kord;“. Ettepaneku kohaselt määratleks Koda keskselt infosüsteemi põhimääruses, kas isikule kuvatakse näiteks vaid õnnestunud (st ilma veateateta) andmepäringud või kõik andmepäringud sõltumata vastuse saamisest, kas tehtud päringute kuvamine andmejälgijas seatakse sõltuvusse täitmisteate kättetoimetamisest jms detailsemad asjad, mis ei muuda seadusandja üldist tahet ega seaduse mõtet. Kaalumist vajab ka, kas anda igale kohtutäiturile eraldi õigus ise määratleda samuti isikule tema kohta täitmisregistri kaudu tehtud päringute kohta teabe kuvamise kord või sätestada tingimused Kojas keskselt.</w:t>
            </w:r>
          </w:p>
          <w:p w14:paraId="68C51FF9" w14:textId="5ED4BD19" w:rsidR="00530073" w:rsidRDefault="00530073" w:rsidP="559A1360">
            <w:pPr>
              <w:spacing w:after="0" w:line="240" w:lineRule="auto"/>
              <w:jc w:val="both"/>
            </w:pPr>
          </w:p>
        </w:tc>
        <w:tc>
          <w:tcPr>
            <w:tcW w:w="6286" w:type="dxa"/>
          </w:tcPr>
          <w:p w14:paraId="6D688F3C" w14:textId="5E2A5DD6" w:rsidR="0063210B" w:rsidRPr="0063210B" w:rsidRDefault="00100C62" w:rsidP="6F0F339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MA</w:t>
            </w:r>
            <w:r w:rsidR="438B6C8B" w:rsidRPr="6F0F339C">
              <w:rPr>
                <w:rFonts w:ascii="Times New Roman" w:eastAsia="Times New Roman" w:hAnsi="Times New Roman"/>
                <w:sz w:val="24"/>
                <w:szCs w:val="24"/>
              </w:rPr>
              <w:t xml:space="preserve">. </w:t>
            </w:r>
            <w:r w:rsidR="23D02F64" w:rsidRPr="6F0F339C">
              <w:rPr>
                <w:rFonts w:ascii="Times New Roman" w:eastAsia="Times New Roman" w:hAnsi="Times New Roman"/>
                <w:sz w:val="24"/>
                <w:szCs w:val="24"/>
              </w:rPr>
              <w:t>Selgitame, et</w:t>
            </w:r>
            <w:r w:rsidR="4E7BF349" w:rsidRPr="6F0F339C">
              <w:rPr>
                <w:rFonts w:ascii="Times New Roman" w:eastAsia="Times New Roman" w:hAnsi="Times New Roman"/>
                <w:sz w:val="24"/>
                <w:szCs w:val="24"/>
              </w:rPr>
              <w:t xml:space="preserve"> sellise detailse regulatsiooni sätestamine </w:t>
            </w:r>
            <w:r w:rsidR="4B3E2D76" w:rsidRPr="6F0F339C">
              <w:rPr>
                <w:rFonts w:ascii="Times New Roman" w:eastAsia="Times New Roman" w:hAnsi="Times New Roman"/>
                <w:sz w:val="24"/>
                <w:szCs w:val="24"/>
              </w:rPr>
              <w:t>TMS-</w:t>
            </w:r>
            <w:proofErr w:type="spellStart"/>
            <w:r w:rsidR="4B3E2D76" w:rsidRPr="6F0F339C">
              <w:rPr>
                <w:rFonts w:ascii="Times New Roman" w:eastAsia="Times New Roman" w:hAnsi="Times New Roman"/>
                <w:sz w:val="24"/>
                <w:szCs w:val="24"/>
              </w:rPr>
              <w:t>is</w:t>
            </w:r>
            <w:proofErr w:type="spellEnd"/>
            <w:r w:rsidR="4E7BF349" w:rsidRPr="6F0F339C">
              <w:rPr>
                <w:rFonts w:ascii="Times New Roman" w:eastAsia="Times New Roman" w:hAnsi="Times New Roman"/>
                <w:sz w:val="24"/>
                <w:szCs w:val="24"/>
              </w:rPr>
              <w:t xml:space="preserve"> pole kohane ega vajalik. On õigesti viidatud, et täitmisregistri kaudu päringuid sooritavate asut</w:t>
            </w:r>
            <w:r w:rsidR="431EB7CB" w:rsidRPr="6F0F339C">
              <w:rPr>
                <w:rFonts w:ascii="Times New Roman" w:eastAsia="Times New Roman" w:hAnsi="Times New Roman"/>
                <w:sz w:val="24"/>
                <w:szCs w:val="24"/>
              </w:rPr>
              <w:t>uste ja isikute päringud alluvad erinevale õiguslikul</w:t>
            </w:r>
            <w:r w:rsidR="7F408EA5" w:rsidRPr="6F0F339C">
              <w:rPr>
                <w:rFonts w:ascii="Times New Roman" w:eastAsia="Times New Roman" w:hAnsi="Times New Roman"/>
                <w:sz w:val="24"/>
                <w:szCs w:val="24"/>
              </w:rPr>
              <w:t xml:space="preserve">e režiimile, mistõttu ei </w:t>
            </w:r>
            <w:r w:rsidR="5926E3E8" w:rsidRPr="6F0F339C">
              <w:rPr>
                <w:rFonts w:ascii="Times New Roman" w:eastAsia="Times New Roman" w:hAnsi="Times New Roman"/>
                <w:sz w:val="24"/>
                <w:szCs w:val="24"/>
              </w:rPr>
              <w:t>saa</w:t>
            </w:r>
            <w:r w:rsidR="7F408EA5" w:rsidRPr="6F0F339C">
              <w:rPr>
                <w:rFonts w:ascii="Times New Roman" w:eastAsia="Times New Roman" w:hAnsi="Times New Roman"/>
                <w:sz w:val="24"/>
                <w:szCs w:val="24"/>
              </w:rPr>
              <w:t xml:space="preserve"> ka </w:t>
            </w:r>
            <w:r w:rsidR="5AE58938" w:rsidRPr="6F0F339C">
              <w:rPr>
                <w:rFonts w:ascii="Times New Roman" w:eastAsia="Times New Roman" w:hAnsi="Times New Roman"/>
                <w:sz w:val="24"/>
                <w:szCs w:val="24"/>
              </w:rPr>
              <w:t>TMS-</w:t>
            </w:r>
            <w:proofErr w:type="spellStart"/>
            <w:r w:rsidR="5AE58938" w:rsidRPr="6F0F339C">
              <w:rPr>
                <w:rFonts w:ascii="Times New Roman" w:eastAsia="Times New Roman" w:hAnsi="Times New Roman"/>
                <w:sz w:val="24"/>
                <w:szCs w:val="24"/>
              </w:rPr>
              <w:t>is</w:t>
            </w:r>
            <w:proofErr w:type="spellEnd"/>
            <w:r w:rsidR="5AE58938" w:rsidRPr="6F0F339C">
              <w:rPr>
                <w:rFonts w:ascii="Times New Roman" w:eastAsia="Times New Roman" w:hAnsi="Times New Roman"/>
                <w:sz w:val="24"/>
                <w:szCs w:val="24"/>
              </w:rPr>
              <w:t xml:space="preserve"> </w:t>
            </w:r>
            <w:r w:rsidR="7F408EA5" w:rsidRPr="6F0F339C">
              <w:rPr>
                <w:rFonts w:ascii="Times New Roman" w:eastAsia="Times New Roman" w:hAnsi="Times New Roman"/>
                <w:sz w:val="24"/>
                <w:szCs w:val="24"/>
              </w:rPr>
              <w:t>regu</w:t>
            </w:r>
            <w:r w:rsidR="062FC3C6" w:rsidRPr="6F0F339C">
              <w:rPr>
                <w:rFonts w:ascii="Times New Roman" w:eastAsia="Times New Roman" w:hAnsi="Times New Roman"/>
                <w:sz w:val="24"/>
                <w:szCs w:val="24"/>
              </w:rPr>
              <w:t>leerida</w:t>
            </w:r>
            <w:r w:rsidR="1ADF1F3A" w:rsidRPr="6F0F339C">
              <w:rPr>
                <w:rFonts w:ascii="Times New Roman" w:eastAsia="Times New Roman" w:hAnsi="Times New Roman"/>
                <w:sz w:val="24"/>
                <w:szCs w:val="24"/>
              </w:rPr>
              <w:t xml:space="preserve"> </w:t>
            </w:r>
            <w:r w:rsidR="062FC3C6" w:rsidRPr="6F0F339C">
              <w:rPr>
                <w:rFonts w:ascii="Times New Roman" w:eastAsia="Times New Roman" w:hAnsi="Times New Roman"/>
                <w:sz w:val="24"/>
                <w:szCs w:val="24"/>
              </w:rPr>
              <w:t>päringute kohta teabe kuvamise korda.</w:t>
            </w:r>
            <w:r w:rsidR="343827DC" w:rsidRPr="6F0F339C">
              <w:rPr>
                <w:rFonts w:ascii="Times New Roman" w:eastAsia="Times New Roman" w:hAnsi="Times New Roman"/>
                <w:sz w:val="24"/>
                <w:szCs w:val="24"/>
              </w:rPr>
              <w:t xml:space="preserve"> Iga päringut teinud asutus ja isik</w:t>
            </w:r>
            <w:r w:rsidR="0A9033F4" w:rsidRPr="6F0F339C">
              <w:rPr>
                <w:rFonts w:ascii="Times New Roman" w:eastAsia="Times New Roman" w:hAnsi="Times New Roman"/>
                <w:sz w:val="24"/>
                <w:szCs w:val="24"/>
              </w:rPr>
              <w:t xml:space="preserve"> peavad ise analüüsima, millistel juhtudel</w:t>
            </w:r>
            <w:r w:rsidR="49A608F0" w:rsidRPr="6F0F339C">
              <w:rPr>
                <w:rFonts w:ascii="Times New Roman" w:eastAsia="Times New Roman" w:hAnsi="Times New Roman"/>
                <w:sz w:val="24"/>
                <w:szCs w:val="24"/>
              </w:rPr>
              <w:t xml:space="preserve"> ja millises mahus</w:t>
            </w:r>
            <w:r w:rsidR="0A9033F4" w:rsidRPr="6F0F339C">
              <w:rPr>
                <w:rFonts w:ascii="Times New Roman" w:eastAsia="Times New Roman" w:hAnsi="Times New Roman"/>
                <w:sz w:val="24"/>
                <w:szCs w:val="24"/>
              </w:rPr>
              <w:t xml:space="preserve"> peab inimene saama teave</w:t>
            </w:r>
            <w:r w:rsidR="2738E063" w:rsidRPr="6F0F339C">
              <w:rPr>
                <w:rFonts w:ascii="Times New Roman" w:eastAsia="Times New Roman" w:hAnsi="Times New Roman"/>
                <w:sz w:val="24"/>
                <w:szCs w:val="24"/>
              </w:rPr>
              <w:t>t päringute kohta</w:t>
            </w:r>
            <w:r w:rsidR="620CC348" w:rsidRPr="6F0F339C">
              <w:rPr>
                <w:rFonts w:ascii="Times New Roman" w:eastAsia="Times New Roman" w:hAnsi="Times New Roman"/>
                <w:sz w:val="24"/>
                <w:szCs w:val="24"/>
              </w:rPr>
              <w:t xml:space="preserve"> ja millisel juhul on see piiratud.</w:t>
            </w:r>
            <w:r w:rsidR="2738E063" w:rsidRPr="6F0F339C">
              <w:rPr>
                <w:rFonts w:ascii="Times New Roman" w:eastAsia="Times New Roman" w:hAnsi="Times New Roman"/>
                <w:sz w:val="24"/>
                <w:szCs w:val="24"/>
              </w:rPr>
              <w:t xml:space="preserve"> Arvestades, et täitmisregister on pelgalt infovahetuskanal, e</w:t>
            </w:r>
            <w:r w:rsidR="6BA3DE55" w:rsidRPr="6F0F339C">
              <w:rPr>
                <w:rFonts w:ascii="Times New Roman" w:eastAsia="Times New Roman" w:hAnsi="Times New Roman"/>
                <w:sz w:val="24"/>
                <w:szCs w:val="24"/>
              </w:rPr>
              <w:t>i saa täitmisregister ega seda reguleeriv TMS selliseid reegleid päringuid tegevatele asutustele ega isikutele ette seada.</w:t>
            </w:r>
            <w:r w:rsidR="20BECE7B" w:rsidRPr="6F0F339C">
              <w:rPr>
                <w:rFonts w:ascii="Times New Roman" w:eastAsia="Times New Roman" w:hAnsi="Times New Roman"/>
                <w:sz w:val="24"/>
                <w:szCs w:val="24"/>
              </w:rPr>
              <w:t xml:space="preserve"> Märgime, et ette </w:t>
            </w:r>
            <w:r w:rsidR="34A500CF" w:rsidRPr="6F0F339C">
              <w:rPr>
                <w:rFonts w:ascii="Times New Roman" w:eastAsia="Times New Roman" w:hAnsi="Times New Roman"/>
                <w:sz w:val="24"/>
                <w:szCs w:val="24"/>
              </w:rPr>
              <w:t xml:space="preserve">on </w:t>
            </w:r>
            <w:r w:rsidR="20BECE7B" w:rsidRPr="6F0F339C">
              <w:rPr>
                <w:rFonts w:ascii="Times New Roman" w:eastAsia="Times New Roman" w:hAnsi="Times New Roman"/>
                <w:sz w:val="24"/>
                <w:szCs w:val="24"/>
              </w:rPr>
              <w:t>valmistamisel ka regulatsioon andmejälgija kohustuslikuks muutmise</w:t>
            </w:r>
            <w:r w:rsidR="271D3DF0" w:rsidRPr="6F0F339C">
              <w:rPr>
                <w:rFonts w:ascii="Times New Roman" w:eastAsia="Times New Roman" w:hAnsi="Times New Roman"/>
                <w:sz w:val="24"/>
                <w:szCs w:val="24"/>
              </w:rPr>
              <w:t>ks</w:t>
            </w:r>
            <w:r w:rsidR="20BECE7B" w:rsidRPr="6F0F339C">
              <w:rPr>
                <w:rFonts w:ascii="Times New Roman" w:eastAsia="Times New Roman" w:hAnsi="Times New Roman"/>
                <w:sz w:val="24"/>
                <w:szCs w:val="24"/>
              </w:rPr>
              <w:t xml:space="preserve"> kõikidele andmekogudele. </w:t>
            </w:r>
            <w:r w:rsidR="7460FF3D" w:rsidRPr="6F0F339C">
              <w:rPr>
                <w:rFonts w:ascii="Times New Roman" w:eastAsia="Times New Roman" w:hAnsi="Times New Roman"/>
                <w:sz w:val="24"/>
                <w:szCs w:val="24"/>
              </w:rPr>
              <w:t xml:space="preserve">Tõenäoliselt nähakse </w:t>
            </w:r>
            <w:r w:rsidR="4ABFD84E" w:rsidRPr="6F0F339C">
              <w:rPr>
                <w:rFonts w:ascii="Times New Roman" w:eastAsia="Times New Roman" w:hAnsi="Times New Roman"/>
                <w:sz w:val="24"/>
                <w:szCs w:val="24"/>
              </w:rPr>
              <w:t>kavandatavas</w:t>
            </w:r>
            <w:r w:rsidR="22A0BBCA" w:rsidRPr="6F0F339C">
              <w:rPr>
                <w:rFonts w:ascii="Times New Roman" w:eastAsia="Times New Roman" w:hAnsi="Times New Roman"/>
                <w:sz w:val="24"/>
                <w:szCs w:val="24"/>
              </w:rPr>
              <w:t xml:space="preserve"> </w:t>
            </w:r>
            <w:r w:rsidR="5077B6AC" w:rsidRPr="6F0F339C">
              <w:rPr>
                <w:rFonts w:ascii="Times New Roman" w:eastAsia="Times New Roman" w:hAnsi="Times New Roman"/>
                <w:sz w:val="24"/>
                <w:szCs w:val="24"/>
              </w:rPr>
              <w:t>regulatsioonis</w:t>
            </w:r>
            <w:r w:rsidR="4F5333CA" w:rsidRPr="6F0F339C">
              <w:rPr>
                <w:rFonts w:ascii="Times New Roman" w:eastAsia="Times New Roman" w:hAnsi="Times New Roman"/>
                <w:sz w:val="24"/>
                <w:szCs w:val="24"/>
              </w:rPr>
              <w:t xml:space="preserve"> ette ka</w:t>
            </w:r>
            <w:r w:rsidR="5077B6AC" w:rsidRPr="6F0F339C">
              <w:rPr>
                <w:rFonts w:ascii="Times New Roman" w:eastAsia="Times New Roman" w:hAnsi="Times New Roman"/>
                <w:sz w:val="24"/>
                <w:szCs w:val="24"/>
              </w:rPr>
              <w:t xml:space="preserve"> </w:t>
            </w:r>
            <w:r w:rsidR="2BFE927E" w:rsidRPr="6F0F339C">
              <w:rPr>
                <w:rFonts w:ascii="Times New Roman" w:eastAsia="Times New Roman" w:hAnsi="Times New Roman"/>
                <w:sz w:val="24"/>
                <w:szCs w:val="24"/>
              </w:rPr>
              <w:t xml:space="preserve">reegleid </w:t>
            </w:r>
            <w:r w:rsidR="2CB278DC" w:rsidRPr="6F0F339C">
              <w:rPr>
                <w:rFonts w:ascii="Times New Roman" w:eastAsia="Times New Roman" w:hAnsi="Times New Roman"/>
                <w:sz w:val="24"/>
                <w:szCs w:val="24"/>
              </w:rPr>
              <w:t>andmete kuvamiseks</w:t>
            </w:r>
            <w:r w:rsidR="030B4B28" w:rsidRPr="6F0F339C">
              <w:rPr>
                <w:rFonts w:ascii="Times New Roman" w:eastAsia="Times New Roman" w:hAnsi="Times New Roman"/>
                <w:sz w:val="24"/>
                <w:szCs w:val="24"/>
              </w:rPr>
              <w:t>, mistõttu ei ole kohane seda hakata reguleerima eraldiseisvalt TMS-</w:t>
            </w:r>
            <w:proofErr w:type="spellStart"/>
            <w:r w:rsidR="030B4B28" w:rsidRPr="6F0F339C">
              <w:rPr>
                <w:rFonts w:ascii="Times New Roman" w:eastAsia="Times New Roman" w:hAnsi="Times New Roman"/>
                <w:sz w:val="24"/>
                <w:szCs w:val="24"/>
              </w:rPr>
              <w:t>is</w:t>
            </w:r>
            <w:proofErr w:type="spellEnd"/>
            <w:r w:rsidR="030B4B28" w:rsidRPr="6F0F339C">
              <w:rPr>
                <w:rFonts w:ascii="Times New Roman" w:eastAsia="Times New Roman" w:hAnsi="Times New Roman"/>
                <w:sz w:val="24"/>
                <w:szCs w:val="24"/>
              </w:rPr>
              <w:t xml:space="preserve"> vaid täitmisregistri kaudu tehtavate päringute puhul.  </w:t>
            </w:r>
          </w:p>
        </w:tc>
      </w:tr>
      <w:tr w:rsidR="0063210B" w14:paraId="0D3B68EE" w14:textId="77777777" w:rsidTr="5682A00B">
        <w:tc>
          <w:tcPr>
            <w:tcW w:w="704" w:type="dxa"/>
          </w:tcPr>
          <w:p w14:paraId="7FD0DA16" w14:textId="1DBB7A6B" w:rsidR="0063210B" w:rsidRDefault="0B755EA7" w:rsidP="559A1360">
            <w:pPr>
              <w:spacing w:after="0" w:line="240" w:lineRule="auto"/>
              <w:rPr>
                <w:rFonts w:ascii="Times New Roman" w:eastAsia="Times New Roman" w:hAnsi="Times New Roman"/>
                <w:sz w:val="24"/>
                <w:szCs w:val="24"/>
              </w:rPr>
            </w:pPr>
            <w:r w:rsidRPr="559A1360">
              <w:rPr>
                <w:rFonts w:ascii="Times New Roman" w:eastAsia="Times New Roman" w:hAnsi="Times New Roman"/>
                <w:sz w:val="24"/>
                <w:szCs w:val="24"/>
              </w:rPr>
              <w:lastRenderedPageBreak/>
              <w:t>3.</w:t>
            </w:r>
          </w:p>
        </w:tc>
        <w:tc>
          <w:tcPr>
            <w:tcW w:w="7140" w:type="dxa"/>
          </w:tcPr>
          <w:p w14:paraId="519BFB57" w14:textId="500ABF25" w:rsidR="0063210B" w:rsidRDefault="0B755EA7" w:rsidP="559A1360">
            <w:pPr>
              <w:spacing w:after="0" w:line="240" w:lineRule="auto"/>
              <w:jc w:val="both"/>
            </w:pPr>
            <w:r w:rsidRPr="559A1360">
              <w:rPr>
                <w:rFonts w:ascii="Times New Roman" w:eastAsia="Times New Roman" w:hAnsi="Times New Roman"/>
                <w:sz w:val="24"/>
                <w:szCs w:val="24"/>
              </w:rPr>
              <w:t>Täiendava ettepanekuna palume muuta kehtetuks TMS § 63</w:t>
            </w:r>
            <w:r w:rsidRPr="559A1360">
              <w:rPr>
                <w:rFonts w:ascii="Times New Roman" w:eastAsia="Times New Roman" w:hAnsi="Times New Roman"/>
                <w:sz w:val="24"/>
                <w:szCs w:val="24"/>
                <w:vertAlign w:val="superscript"/>
              </w:rPr>
              <w:t>2</w:t>
            </w:r>
            <w:r w:rsidRPr="559A1360">
              <w:rPr>
                <w:rFonts w:ascii="Times New Roman" w:eastAsia="Times New Roman" w:hAnsi="Times New Roman"/>
                <w:sz w:val="24"/>
                <w:szCs w:val="24"/>
              </w:rPr>
              <w:t xml:space="preserve"> lg 3, milles sätestatu täitmiseks on Koda 2023. aastal rakendanud X-tee vahendusserveri. Vahendusserveri kaudu on kohtutäituritel võimalik </w:t>
            </w:r>
            <w:proofErr w:type="spellStart"/>
            <w:r w:rsidRPr="559A1360">
              <w:rPr>
                <w:rFonts w:ascii="Times New Roman" w:eastAsia="Times New Roman" w:hAnsi="Times New Roman"/>
                <w:sz w:val="24"/>
                <w:szCs w:val="24"/>
              </w:rPr>
              <w:t>liidestada</w:t>
            </w:r>
            <w:proofErr w:type="spellEnd"/>
            <w:r w:rsidRPr="559A1360">
              <w:rPr>
                <w:rFonts w:ascii="Times New Roman" w:eastAsia="Times New Roman" w:hAnsi="Times New Roman"/>
                <w:sz w:val="24"/>
                <w:szCs w:val="24"/>
              </w:rPr>
              <w:t xml:space="preserve"> X-teele enda personaalsed infosüsteemid. Hetkel on vahendusserver ühendatud 117 X-tee teenusega 4 kohtutäituri personaalse infosüsteemi tarbeks. Kojale teadaolevalt lisandub lähiajal veel kohtutäitureid, kes soovivad vahendusserveri kaudu X-teele pääseda. Koja ja kohtutäiturite jaoks tähendab taolise süsteemi rakendamine lisakoormust, mis ei anna otseühendusega võrreldes positiivset efekti mitte kellelegi. Koda on pandud olukorda, kus ta peab teenindama üksiku kohtutäituri tellimust ja kulutama selleks ametikogu ühist ressurssi ja selle võrra saab vähem arendada ühiseid infosüsteeme ja paljudele või kõikidele kohtutäituritele kasuks tulevaid lahendusi. Seetõttu teeme ettepaneku konkreetsest nõudest loobuda, et Koja ametikogu saaks enda ressursi keskendada ühist kasu toovatele IT arendustele ja iga kohtutäitur lahendaks enda eravajadused iseseisvalt.</w:t>
            </w:r>
          </w:p>
          <w:p w14:paraId="0A4B89D0" w14:textId="017BF712" w:rsidR="0063210B" w:rsidRDefault="0063210B" w:rsidP="559A1360">
            <w:pPr>
              <w:spacing w:after="0" w:line="240" w:lineRule="auto"/>
              <w:jc w:val="both"/>
              <w:rPr>
                <w:rFonts w:ascii="Times New Roman" w:eastAsia="Times New Roman" w:hAnsi="Times New Roman"/>
                <w:sz w:val="24"/>
                <w:szCs w:val="24"/>
              </w:rPr>
            </w:pPr>
          </w:p>
        </w:tc>
        <w:tc>
          <w:tcPr>
            <w:tcW w:w="6286" w:type="dxa"/>
          </w:tcPr>
          <w:p w14:paraId="0EF2A1F2" w14:textId="63E502FF" w:rsidR="0063210B" w:rsidRPr="0063210B" w:rsidRDefault="00100C62" w:rsidP="6F0F339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MA</w:t>
            </w:r>
            <w:r w:rsidR="44ABDDC6" w:rsidRPr="6F0F339C">
              <w:rPr>
                <w:rFonts w:ascii="Times New Roman" w:eastAsia="Times New Roman" w:hAnsi="Times New Roman"/>
                <w:sz w:val="24"/>
                <w:szCs w:val="24"/>
              </w:rPr>
              <w:t xml:space="preserve">. </w:t>
            </w:r>
            <w:r w:rsidR="3E5EFB1A" w:rsidRPr="6F0F339C">
              <w:rPr>
                <w:rFonts w:ascii="Times New Roman" w:eastAsia="Times New Roman" w:hAnsi="Times New Roman"/>
                <w:sz w:val="24"/>
                <w:szCs w:val="24"/>
              </w:rPr>
              <w:t>Selgitame, et s</w:t>
            </w:r>
            <w:r w:rsidR="37FA65C0" w:rsidRPr="6F0F339C">
              <w:rPr>
                <w:rFonts w:ascii="Times New Roman" w:eastAsia="Times New Roman" w:hAnsi="Times New Roman"/>
                <w:sz w:val="24"/>
                <w:szCs w:val="24"/>
              </w:rPr>
              <w:t>ell</w:t>
            </w:r>
            <w:r w:rsidR="18555ECA" w:rsidRPr="6F0F339C">
              <w:rPr>
                <w:rFonts w:ascii="Times New Roman" w:eastAsia="Times New Roman" w:hAnsi="Times New Roman"/>
                <w:sz w:val="24"/>
                <w:szCs w:val="24"/>
              </w:rPr>
              <w:t>e</w:t>
            </w:r>
            <w:r w:rsidR="37FA65C0" w:rsidRPr="6F0F339C">
              <w:rPr>
                <w:rFonts w:ascii="Times New Roman" w:eastAsia="Times New Roman" w:hAnsi="Times New Roman"/>
                <w:sz w:val="24"/>
                <w:szCs w:val="24"/>
              </w:rPr>
              <w:t xml:space="preserve"> küsimuse lahendamine jääb väljapoole kõnealuse seaduseelnõu eesmärki</w:t>
            </w:r>
            <w:r w:rsidR="36835064" w:rsidRPr="6F0F339C">
              <w:rPr>
                <w:rFonts w:ascii="Times New Roman" w:eastAsia="Times New Roman" w:hAnsi="Times New Roman"/>
                <w:sz w:val="24"/>
                <w:szCs w:val="24"/>
              </w:rPr>
              <w:t>. Lisaks oleks tegemist olulise põhimõttelise muudatusega, mille eelduseks</w:t>
            </w:r>
            <w:r w:rsidR="37FA65C0" w:rsidRPr="6F0F339C">
              <w:rPr>
                <w:rFonts w:ascii="Times New Roman" w:eastAsia="Times New Roman" w:hAnsi="Times New Roman"/>
                <w:sz w:val="24"/>
                <w:szCs w:val="24"/>
              </w:rPr>
              <w:t xml:space="preserve"> </w:t>
            </w:r>
            <w:r w:rsidR="5FC6E7A5" w:rsidRPr="6F0F339C">
              <w:rPr>
                <w:rFonts w:ascii="Times New Roman" w:eastAsia="Times New Roman" w:hAnsi="Times New Roman"/>
                <w:sz w:val="24"/>
                <w:szCs w:val="24"/>
              </w:rPr>
              <w:t xml:space="preserve">on </w:t>
            </w:r>
            <w:r w:rsidR="37FA65C0" w:rsidRPr="6F0F339C">
              <w:rPr>
                <w:rFonts w:ascii="Times New Roman" w:eastAsia="Times New Roman" w:hAnsi="Times New Roman"/>
                <w:sz w:val="24"/>
                <w:szCs w:val="24"/>
              </w:rPr>
              <w:t>üksikasjalik analüüs</w:t>
            </w:r>
            <w:r w:rsidR="5C197270" w:rsidRPr="6F0F339C">
              <w:rPr>
                <w:rFonts w:ascii="Times New Roman" w:eastAsia="Times New Roman" w:hAnsi="Times New Roman"/>
                <w:sz w:val="24"/>
                <w:szCs w:val="24"/>
              </w:rPr>
              <w:t xml:space="preserve"> kaasnevatest mõjudest</w:t>
            </w:r>
          </w:p>
        </w:tc>
      </w:tr>
      <w:tr w:rsidR="4B1679DF" w14:paraId="07FE4B31" w14:textId="77777777" w:rsidTr="5682A00B">
        <w:trPr>
          <w:trHeight w:val="300"/>
        </w:trPr>
        <w:tc>
          <w:tcPr>
            <w:tcW w:w="14130" w:type="dxa"/>
            <w:gridSpan w:val="3"/>
          </w:tcPr>
          <w:p w14:paraId="4A7E6C73" w14:textId="1BE764AE" w:rsidR="4B1679DF" w:rsidRDefault="1A201B98" w:rsidP="559A1360">
            <w:pPr>
              <w:spacing w:line="240" w:lineRule="auto"/>
              <w:rPr>
                <w:rFonts w:ascii="Times New Roman" w:eastAsia="Times New Roman" w:hAnsi="Times New Roman"/>
                <w:b/>
                <w:bCs/>
                <w:sz w:val="24"/>
                <w:szCs w:val="24"/>
              </w:rPr>
            </w:pPr>
            <w:r w:rsidRPr="559A1360">
              <w:rPr>
                <w:rFonts w:ascii="Times New Roman" w:eastAsia="Times New Roman" w:hAnsi="Times New Roman"/>
                <w:b/>
                <w:bCs/>
                <w:sz w:val="24"/>
                <w:szCs w:val="24"/>
              </w:rPr>
              <w:t>Õiguskantsler</w:t>
            </w:r>
            <w:r w:rsidR="007F1778">
              <w:rPr>
                <w:rFonts w:ascii="Times New Roman" w:eastAsia="Times New Roman" w:hAnsi="Times New Roman"/>
                <w:b/>
                <w:bCs/>
                <w:sz w:val="24"/>
                <w:szCs w:val="24"/>
              </w:rPr>
              <w:t>i Kantselei</w:t>
            </w:r>
          </w:p>
        </w:tc>
      </w:tr>
      <w:tr w:rsidR="0063210B" w14:paraId="4046ABBF" w14:textId="77777777" w:rsidTr="5682A00B">
        <w:tc>
          <w:tcPr>
            <w:tcW w:w="704" w:type="dxa"/>
          </w:tcPr>
          <w:p w14:paraId="38C7C45B" w14:textId="4CA50371" w:rsidR="0063210B" w:rsidRDefault="559A1360" w:rsidP="559A1360">
            <w:pPr>
              <w:spacing w:after="0" w:line="240" w:lineRule="auto"/>
              <w:rPr>
                <w:rFonts w:ascii="Times New Roman" w:eastAsia="Times New Roman" w:hAnsi="Times New Roman"/>
              </w:rPr>
            </w:pPr>
            <w:r w:rsidRPr="559A1360">
              <w:rPr>
                <w:rFonts w:ascii="Times New Roman" w:eastAsia="Times New Roman" w:hAnsi="Times New Roman"/>
                <w:sz w:val="24"/>
                <w:szCs w:val="24"/>
              </w:rPr>
              <w:t xml:space="preserve">4. </w:t>
            </w:r>
          </w:p>
        </w:tc>
        <w:tc>
          <w:tcPr>
            <w:tcW w:w="7140" w:type="dxa"/>
          </w:tcPr>
          <w:p w14:paraId="62C49C24" w14:textId="5523B452" w:rsidR="0063210B" w:rsidRDefault="494F1F7F" w:rsidP="559A1360">
            <w:pPr>
              <w:tabs>
                <w:tab w:val="left" w:pos="1335"/>
              </w:tabs>
              <w:spacing w:after="0" w:line="240" w:lineRule="auto"/>
              <w:jc w:val="both"/>
              <w:rPr>
                <w:rFonts w:ascii="Times New Roman" w:eastAsia="Times New Roman" w:hAnsi="Times New Roman"/>
                <w:sz w:val="24"/>
                <w:szCs w:val="24"/>
              </w:rPr>
            </w:pPr>
            <w:r w:rsidRPr="6F0F339C">
              <w:rPr>
                <w:rFonts w:ascii="Times New Roman" w:eastAsia="Times New Roman" w:hAnsi="Times New Roman"/>
                <w:sz w:val="24"/>
                <w:szCs w:val="24"/>
              </w:rPr>
              <w:t>Põhiseaduse järgi tuleb kõik põhiõiguste olulised piirangud sätestada seadusega. Inimese privaatsuse piirangute põhjendatuse hindamine on kaasajal eriti oluline, kuivõrd inimese kohta käivate olulisimate andmete (nt terviseandmed, pangasaladus) lekkimine või kuritarvitamine võimaldab tekitada ulatuslikku kahju. Paraku ei selgu praegu seadusest, milliseid andmeid täitmisregistri kui andmevahetuskanali kaudu tohib edastada. Täitmisregistri põhimääruse § 9 lõikes 2 esitatud loetelu ei asenda seaduslikku luba pangakonto väljavõtte pärimiseks haldusmenetluses.</w:t>
            </w:r>
          </w:p>
        </w:tc>
        <w:tc>
          <w:tcPr>
            <w:tcW w:w="6286" w:type="dxa"/>
          </w:tcPr>
          <w:p w14:paraId="63AEEA4F" w14:textId="54CA9BB1" w:rsidR="0063210B" w:rsidRDefault="39E2A553" w:rsidP="70044D67">
            <w:pPr>
              <w:spacing w:after="0" w:line="240" w:lineRule="auto"/>
              <w:jc w:val="both"/>
              <w:rPr>
                <w:rFonts w:ascii="Times New Roman" w:eastAsia="Times New Roman" w:hAnsi="Times New Roman"/>
                <w:sz w:val="24"/>
                <w:szCs w:val="24"/>
              </w:rPr>
            </w:pPr>
            <w:r w:rsidRPr="6F0F339C">
              <w:rPr>
                <w:rFonts w:ascii="Times New Roman" w:eastAsia="Times New Roman" w:hAnsi="Times New Roman"/>
                <w:sz w:val="24"/>
                <w:szCs w:val="24"/>
              </w:rPr>
              <w:t>S. Täitmisregistri regulatsioon TMS-</w:t>
            </w:r>
            <w:proofErr w:type="spellStart"/>
            <w:r w:rsidRPr="6F0F339C">
              <w:rPr>
                <w:rFonts w:ascii="Times New Roman" w:eastAsia="Times New Roman" w:hAnsi="Times New Roman"/>
                <w:sz w:val="24"/>
                <w:szCs w:val="24"/>
              </w:rPr>
              <w:t>is</w:t>
            </w:r>
            <w:proofErr w:type="spellEnd"/>
            <w:r w:rsidRPr="6F0F339C">
              <w:rPr>
                <w:rFonts w:ascii="Times New Roman" w:eastAsia="Times New Roman" w:hAnsi="Times New Roman"/>
                <w:sz w:val="24"/>
                <w:szCs w:val="24"/>
              </w:rPr>
              <w:t xml:space="preserve"> on olemuselt tehniline regulatsioon, mille eesmärk on sätestada registri kasutamise tehnilised alused ja võimalused. Sarnane regulatsioon on kehtestatud näiteks ka TMS §-s l15, mis reguleerib võlgniku pangakonto arestimise tehnilist poolt.</w:t>
            </w:r>
          </w:p>
          <w:p w14:paraId="2BA6FD0D" w14:textId="272D0036" w:rsidR="0063210B" w:rsidRDefault="39E2A553" w:rsidP="70044D67">
            <w:pPr>
              <w:spacing w:after="0" w:line="240" w:lineRule="auto"/>
              <w:jc w:val="both"/>
              <w:rPr>
                <w:rFonts w:ascii="Times New Roman" w:eastAsia="Times New Roman" w:hAnsi="Times New Roman"/>
                <w:sz w:val="24"/>
                <w:szCs w:val="24"/>
                <w:lang w:val="de-DE"/>
              </w:rPr>
            </w:pPr>
            <w:r w:rsidRPr="6F0F339C">
              <w:rPr>
                <w:rFonts w:ascii="Times New Roman" w:eastAsia="Times New Roman" w:hAnsi="Times New Roman"/>
                <w:sz w:val="24"/>
                <w:szCs w:val="24"/>
              </w:rPr>
              <w:t>TMS § 63 lõike 1 punktis 4 sätestatud regulatsiooniga on loodud võimalus kasutada täitmisregistri teatud osa pankadele suunatud päringute saatmiseks ja vastuste saamiseks. Tegemist on tehnilise normiga, mis üksnes sätestab infovahetuse võimaluse, kuid ei reguleeri selle kaudu edastatava teabe sisu ega õigusi saada või mitte saada teatud liiki teavet. Sama käib ka käesoleval ajal kehtiva TMS § 63 lg 2 regulatsiooni kohta ning kõnealuses TMS jt muutmise eelnõus välja pakutud tulevikus jõustuva TMS § 63 lg 2 (uues sõnastuses) ning uue § 63 lg 2</w:t>
            </w:r>
            <w:r w:rsidRPr="6F0F339C">
              <w:rPr>
                <w:rFonts w:ascii="Times New Roman" w:eastAsia="Times New Roman" w:hAnsi="Times New Roman"/>
                <w:sz w:val="24"/>
                <w:szCs w:val="24"/>
                <w:vertAlign w:val="superscript"/>
              </w:rPr>
              <w:t>1</w:t>
            </w:r>
            <w:r w:rsidRPr="6F0F339C">
              <w:rPr>
                <w:rFonts w:ascii="Times New Roman" w:eastAsia="Times New Roman" w:hAnsi="Times New Roman"/>
                <w:sz w:val="24"/>
                <w:szCs w:val="24"/>
              </w:rPr>
              <w:t xml:space="preserve"> </w:t>
            </w:r>
            <w:r w:rsidRPr="6F0F339C">
              <w:rPr>
                <w:rFonts w:ascii="Times New Roman" w:eastAsia="Times New Roman" w:hAnsi="Times New Roman"/>
                <w:sz w:val="24"/>
                <w:szCs w:val="24"/>
              </w:rPr>
              <w:lastRenderedPageBreak/>
              <w:t xml:space="preserve">regulatsiooni kohta. Seetõttu ei saa täitmisregistri tehnilise regulatsiooniga kehtestada infovahetuskanali informatsiooni sisu ega määrata, millist teavet on võimalik selle kanali kaudu edastada või saada. Sellised sisulised küsimused tuleb reguleerida muudes eriseadustes, näiteks krediidiasutuste seaduses.   </w:t>
            </w:r>
          </w:p>
        </w:tc>
      </w:tr>
    </w:tbl>
    <w:p w14:paraId="53D2C38A" w14:textId="77777777" w:rsidR="0063210B" w:rsidRDefault="0063210B" w:rsidP="559A1360">
      <w:pPr>
        <w:spacing w:line="240" w:lineRule="auto"/>
        <w:rPr>
          <w:rFonts w:ascii="Times New Roman" w:eastAsia="Times New Roman" w:hAnsi="Times New Roman"/>
          <w:sz w:val="24"/>
          <w:szCs w:val="24"/>
        </w:rPr>
      </w:pPr>
    </w:p>
    <w:sectPr w:rsidR="0063210B">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7F0C" w14:textId="77777777" w:rsidR="00336C22" w:rsidRDefault="00336C22" w:rsidP="00FC6D0B">
      <w:pPr>
        <w:spacing w:after="0" w:line="240" w:lineRule="auto"/>
      </w:pPr>
      <w:r>
        <w:separator/>
      </w:r>
    </w:p>
  </w:endnote>
  <w:endnote w:type="continuationSeparator" w:id="0">
    <w:p w14:paraId="0BA93BEC" w14:textId="77777777" w:rsidR="00336C22" w:rsidRDefault="00336C22" w:rsidP="00FC6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94576"/>
      <w:docPartObj>
        <w:docPartGallery w:val="Page Numbers (Bottom of Page)"/>
        <w:docPartUnique/>
      </w:docPartObj>
    </w:sdtPr>
    <w:sdtContent>
      <w:p w14:paraId="79BD5897" w14:textId="11AFA99E" w:rsidR="00FC6D0B" w:rsidRDefault="00FC6D0B">
        <w:pPr>
          <w:pStyle w:val="Jalus"/>
          <w:jc w:val="center"/>
        </w:pPr>
        <w:r>
          <w:fldChar w:fldCharType="begin"/>
        </w:r>
        <w:r>
          <w:instrText>PAGE   \* MERGEFORMAT</w:instrText>
        </w:r>
        <w:r>
          <w:fldChar w:fldCharType="separate"/>
        </w:r>
        <w:r>
          <w:t>2</w:t>
        </w:r>
        <w:r>
          <w:fldChar w:fldCharType="end"/>
        </w:r>
      </w:p>
    </w:sdtContent>
  </w:sdt>
  <w:p w14:paraId="7703DCB1" w14:textId="77777777" w:rsidR="00FC6D0B" w:rsidRDefault="00FC6D0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8255" w14:textId="77777777" w:rsidR="00336C22" w:rsidRDefault="00336C22" w:rsidP="00FC6D0B">
      <w:pPr>
        <w:spacing w:after="0" w:line="240" w:lineRule="auto"/>
      </w:pPr>
      <w:r>
        <w:separator/>
      </w:r>
    </w:p>
  </w:footnote>
  <w:footnote w:type="continuationSeparator" w:id="0">
    <w:p w14:paraId="100CAEF9" w14:textId="77777777" w:rsidR="00336C22" w:rsidRDefault="00336C22" w:rsidP="00FC6D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1F8E"/>
    <w:multiLevelType w:val="hybridMultilevel"/>
    <w:tmpl w:val="10AE67DE"/>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6974184"/>
    <w:multiLevelType w:val="hybridMultilevel"/>
    <w:tmpl w:val="FFDC37B6"/>
    <w:lvl w:ilvl="0" w:tplc="D892DA5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502B212"/>
    <w:multiLevelType w:val="hybridMultilevel"/>
    <w:tmpl w:val="1664470E"/>
    <w:lvl w:ilvl="0" w:tplc="60A659C6">
      <w:start w:val="1"/>
      <w:numFmt w:val="decimal"/>
      <w:lvlText w:val="%1."/>
      <w:lvlJc w:val="left"/>
      <w:pPr>
        <w:ind w:left="720" w:hanging="360"/>
      </w:pPr>
    </w:lvl>
    <w:lvl w:ilvl="1" w:tplc="83CCCE8E">
      <w:start w:val="1"/>
      <w:numFmt w:val="lowerLetter"/>
      <w:lvlText w:val="%2."/>
      <w:lvlJc w:val="left"/>
      <w:pPr>
        <w:ind w:left="1440" w:hanging="360"/>
      </w:pPr>
    </w:lvl>
    <w:lvl w:ilvl="2" w:tplc="CEAAE2C4">
      <w:start w:val="1"/>
      <w:numFmt w:val="lowerRoman"/>
      <w:lvlText w:val="%3."/>
      <w:lvlJc w:val="right"/>
      <w:pPr>
        <w:ind w:left="2160" w:hanging="180"/>
      </w:pPr>
    </w:lvl>
    <w:lvl w:ilvl="3" w:tplc="22CE93A0">
      <w:start w:val="1"/>
      <w:numFmt w:val="decimal"/>
      <w:lvlText w:val="%4."/>
      <w:lvlJc w:val="left"/>
      <w:pPr>
        <w:ind w:left="2880" w:hanging="360"/>
      </w:pPr>
    </w:lvl>
    <w:lvl w:ilvl="4" w:tplc="FAD2FB02">
      <w:start w:val="1"/>
      <w:numFmt w:val="lowerLetter"/>
      <w:lvlText w:val="%5."/>
      <w:lvlJc w:val="left"/>
      <w:pPr>
        <w:ind w:left="3600" w:hanging="360"/>
      </w:pPr>
    </w:lvl>
    <w:lvl w:ilvl="5" w:tplc="FDDC9614">
      <w:start w:val="1"/>
      <w:numFmt w:val="lowerRoman"/>
      <w:lvlText w:val="%6."/>
      <w:lvlJc w:val="right"/>
      <w:pPr>
        <w:ind w:left="4320" w:hanging="180"/>
      </w:pPr>
    </w:lvl>
    <w:lvl w:ilvl="6" w:tplc="092E6540">
      <w:start w:val="1"/>
      <w:numFmt w:val="decimal"/>
      <w:lvlText w:val="%7."/>
      <w:lvlJc w:val="left"/>
      <w:pPr>
        <w:ind w:left="5040" w:hanging="360"/>
      </w:pPr>
    </w:lvl>
    <w:lvl w:ilvl="7" w:tplc="C400C0A8">
      <w:start w:val="1"/>
      <w:numFmt w:val="lowerLetter"/>
      <w:lvlText w:val="%8."/>
      <w:lvlJc w:val="left"/>
      <w:pPr>
        <w:ind w:left="5760" w:hanging="360"/>
      </w:pPr>
    </w:lvl>
    <w:lvl w:ilvl="8" w:tplc="69846472">
      <w:start w:val="1"/>
      <w:numFmt w:val="lowerRoman"/>
      <w:lvlText w:val="%9."/>
      <w:lvlJc w:val="right"/>
      <w:pPr>
        <w:ind w:left="6480" w:hanging="180"/>
      </w:pPr>
    </w:lvl>
  </w:abstractNum>
  <w:abstractNum w:abstractNumId="3" w15:restartNumberingAfterBreak="0">
    <w:nsid w:val="28B860B3"/>
    <w:multiLevelType w:val="hybridMultilevel"/>
    <w:tmpl w:val="C10C804C"/>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3C95DB2"/>
    <w:multiLevelType w:val="hybridMultilevel"/>
    <w:tmpl w:val="24B80AA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60259923">
    <w:abstractNumId w:val="2"/>
  </w:num>
  <w:num w:numId="2" w16cid:durableId="177045092">
    <w:abstractNumId w:val="4"/>
  </w:num>
  <w:num w:numId="3" w16cid:durableId="1598555819">
    <w:abstractNumId w:val="0"/>
  </w:num>
  <w:num w:numId="4" w16cid:durableId="1277371296">
    <w:abstractNumId w:val="3"/>
  </w:num>
  <w:num w:numId="5" w16cid:durableId="1497501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71"/>
    <w:rsid w:val="00100C62"/>
    <w:rsid w:val="00180B06"/>
    <w:rsid w:val="00207AAA"/>
    <w:rsid w:val="00256ECD"/>
    <w:rsid w:val="00332109"/>
    <w:rsid w:val="00336C22"/>
    <w:rsid w:val="003C13A4"/>
    <w:rsid w:val="003E68BE"/>
    <w:rsid w:val="004608F5"/>
    <w:rsid w:val="004A1322"/>
    <w:rsid w:val="00530073"/>
    <w:rsid w:val="0063210B"/>
    <w:rsid w:val="00650AE5"/>
    <w:rsid w:val="006650A0"/>
    <w:rsid w:val="006A1D8C"/>
    <w:rsid w:val="00724DB1"/>
    <w:rsid w:val="0076025B"/>
    <w:rsid w:val="007B4411"/>
    <w:rsid w:val="007E5FE3"/>
    <w:rsid w:val="007F1778"/>
    <w:rsid w:val="0084780D"/>
    <w:rsid w:val="00866E01"/>
    <w:rsid w:val="008A370F"/>
    <w:rsid w:val="008A5FAB"/>
    <w:rsid w:val="008D46C4"/>
    <w:rsid w:val="00954CAA"/>
    <w:rsid w:val="00A16E71"/>
    <w:rsid w:val="00A37775"/>
    <w:rsid w:val="00A56906"/>
    <w:rsid w:val="00A735EB"/>
    <w:rsid w:val="00B4501C"/>
    <w:rsid w:val="00B63A10"/>
    <w:rsid w:val="00B83C57"/>
    <w:rsid w:val="00C02306"/>
    <w:rsid w:val="00CA6D95"/>
    <w:rsid w:val="00DD4ECD"/>
    <w:rsid w:val="00FC6D0B"/>
    <w:rsid w:val="01AEC935"/>
    <w:rsid w:val="0228EE2A"/>
    <w:rsid w:val="02295D92"/>
    <w:rsid w:val="02F50180"/>
    <w:rsid w:val="030B4B28"/>
    <w:rsid w:val="03A80689"/>
    <w:rsid w:val="0408CC03"/>
    <w:rsid w:val="041CB1D3"/>
    <w:rsid w:val="059B3A95"/>
    <w:rsid w:val="062FC3C6"/>
    <w:rsid w:val="06717D8A"/>
    <w:rsid w:val="06C1C917"/>
    <w:rsid w:val="0828219D"/>
    <w:rsid w:val="0A9033F4"/>
    <w:rsid w:val="0B73E335"/>
    <w:rsid w:val="0B755EA7"/>
    <w:rsid w:val="0C044C53"/>
    <w:rsid w:val="0C08AC8E"/>
    <w:rsid w:val="0C1CD191"/>
    <w:rsid w:val="0CA6E78B"/>
    <w:rsid w:val="0EAC7B72"/>
    <w:rsid w:val="0F478D7A"/>
    <w:rsid w:val="11A00D85"/>
    <w:rsid w:val="13383B34"/>
    <w:rsid w:val="13648BBA"/>
    <w:rsid w:val="1395A132"/>
    <w:rsid w:val="144C2082"/>
    <w:rsid w:val="14CDEEBB"/>
    <w:rsid w:val="154552F5"/>
    <w:rsid w:val="16FBFD7A"/>
    <w:rsid w:val="18227694"/>
    <w:rsid w:val="18555ECA"/>
    <w:rsid w:val="18797236"/>
    <w:rsid w:val="18986083"/>
    <w:rsid w:val="18A77C06"/>
    <w:rsid w:val="1A201B98"/>
    <w:rsid w:val="1A3C0A15"/>
    <w:rsid w:val="1ADF1F3A"/>
    <w:rsid w:val="1B655E04"/>
    <w:rsid w:val="1B8F5D44"/>
    <w:rsid w:val="1BAA40FC"/>
    <w:rsid w:val="1E2135E9"/>
    <w:rsid w:val="1E4CECD7"/>
    <w:rsid w:val="1E4D045A"/>
    <w:rsid w:val="1ED7ADF8"/>
    <w:rsid w:val="1ED7D65D"/>
    <w:rsid w:val="1EE3B222"/>
    <w:rsid w:val="1F549B4C"/>
    <w:rsid w:val="1F6C22BD"/>
    <w:rsid w:val="1FDD9D72"/>
    <w:rsid w:val="20BECE7B"/>
    <w:rsid w:val="215994AC"/>
    <w:rsid w:val="216057C4"/>
    <w:rsid w:val="229AF66A"/>
    <w:rsid w:val="22A0BBCA"/>
    <w:rsid w:val="22D2EE88"/>
    <w:rsid w:val="236EBE3C"/>
    <w:rsid w:val="23D02F64"/>
    <w:rsid w:val="242F7446"/>
    <w:rsid w:val="2486F2CB"/>
    <w:rsid w:val="2509F2DD"/>
    <w:rsid w:val="253BAB02"/>
    <w:rsid w:val="2636C065"/>
    <w:rsid w:val="26BD67B3"/>
    <w:rsid w:val="271D3DF0"/>
    <w:rsid w:val="2738E063"/>
    <w:rsid w:val="2866ABC8"/>
    <w:rsid w:val="2891EC5C"/>
    <w:rsid w:val="28C3B096"/>
    <w:rsid w:val="29892A6A"/>
    <w:rsid w:val="2A9D2A8D"/>
    <w:rsid w:val="2AF49BCB"/>
    <w:rsid w:val="2AFFD156"/>
    <w:rsid w:val="2BCF91A5"/>
    <w:rsid w:val="2BFE927E"/>
    <w:rsid w:val="2C8DA034"/>
    <w:rsid w:val="2CB278DC"/>
    <w:rsid w:val="2D137B0F"/>
    <w:rsid w:val="2D52F95A"/>
    <w:rsid w:val="2D5D0B8F"/>
    <w:rsid w:val="2EAADA2A"/>
    <w:rsid w:val="2EAD7311"/>
    <w:rsid w:val="2EE518BC"/>
    <w:rsid w:val="2FFEA27C"/>
    <w:rsid w:val="30F59CB5"/>
    <w:rsid w:val="3172C239"/>
    <w:rsid w:val="3254FF51"/>
    <w:rsid w:val="3350A815"/>
    <w:rsid w:val="336D7B77"/>
    <w:rsid w:val="33F38A2B"/>
    <w:rsid w:val="343827DC"/>
    <w:rsid w:val="344EEC3D"/>
    <w:rsid w:val="34A500CF"/>
    <w:rsid w:val="34EB10DB"/>
    <w:rsid w:val="34FFB20B"/>
    <w:rsid w:val="36835064"/>
    <w:rsid w:val="370AB47A"/>
    <w:rsid w:val="374452A8"/>
    <w:rsid w:val="37B41576"/>
    <w:rsid w:val="37EF8884"/>
    <w:rsid w:val="37FA65C0"/>
    <w:rsid w:val="396A59E4"/>
    <w:rsid w:val="39D9FC94"/>
    <w:rsid w:val="39E2A553"/>
    <w:rsid w:val="3A0B81C7"/>
    <w:rsid w:val="3B6949E2"/>
    <w:rsid w:val="3C2D5CF3"/>
    <w:rsid w:val="3D0F2637"/>
    <w:rsid w:val="3D2F2D06"/>
    <w:rsid w:val="3E5EFB1A"/>
    <w:rsid w:val="3E6C766E"/>
    <w:rsid w:val="3E821237"/>
    <w:rsid w:val="3EBFB0CE"/>
    <w:rsid w:val="3FDD7780"/>
    <w:rsid w:val="411DCD69"/>
    <w:rsid w:val="42914241"/>
    <w:rsid w:val="431EB7CB"/>
    <w:rsid w:val="438B6C8B"/>
    <w:rsid w:val="443FC9D1"/>
    <w:rsid w:val="4452F4D5"/>
    <w:rsid w:val="449F02A7"/>
    <w:rsid w:val="44ABDDC6"/>
    <w:rsid w:val="44DF2A74"/>
    <w:rsid w:val="455402A4"/>
    <w:rsid w:val="4615507B"/>
    <w:rsid w:val="4660AF01"/>
    <w:rsid w:val="46F088B5"/>
    <w:rsid w:val="47E3F433"/>
    <w:rsid w:val="487FBC9F"/>
    <w:rsid w:val="48A4A1EC"/>
    <w:rsid w:val="4918656F"/>
    <w:rsid w:val="494F1F7F"/>
    <w:rsid w:val="49A608F0"/>
    <w:rsid w:val="49CF3925"/>
    <w:rsid w:val="4ABFD84E"/>
    <w:rsid w:val="4B0EF348"/>
    <w:rsid w:val="4B1679DF"/>
    <w:rsid w:val="4B3E2D76"/>
    <w:rsid w:val="4C56B0F9"/>
    <w:rsid w:val="4CDEC05C"/>
    <w:rsid w:val="4D062047"/>
    <w:rsid w:val="4D35091A"/>
    <w:rsid w:val="4D99ACB7"/>
    <w:rsid w:val="4DA0B562"/>
    <w:rsid w:val="4E7BF349"/>
    <w:rsid w:val="4ED699A9"/>
    <w:rsid w:val="4F412A1A"/>
    <w:rsid w:val="4F5333CA"/>
    <w:rsid w:val="4FBD8381"/>
    <w:rsid w:val="5077B6AC"/>
    <w:rsid w:val="51D1D3CB"/>
    <w:rsid w:val="52F129BC"/>
    <w:rsid w:val="547FA422"/>
    <w:rsid w:val="54CD7835"/>
    <w:rsid w:val="556218C2"/>
    <w:rsid w:val="559A1360"/>
    <w:rsid w:val="56122591"/>
    <w:rsid w:val="5659C706"/>
    <w:rsid w:val="5682A00B"/>
    <w:rsid w:val="575EC414"/>
    <w:rsid w:val="57603D1E"/>
    <w:rsid w:val="588BC213"/>
    <w:rsid w:val="58E1B828"/>
    <w:rsid w:val="5926E3E8"/>
    <w:rsid w:val="5A2E0C2F"/>
    <w:rsid w:val="5A3A9809"/>
    <w:rsid w:val="5A67B85C"/>
    <w:rsid w:val="5AE58938"/>
    <w:rsid w:val="5B4B27BB"/>
    <w:rsid w:val="5B784C2B"/>
    <w:rsid w:val="5BD3C1D0"/>
    <w:rsid w:val="5C197270"/>
    <w:rsid w:val="5C51B9C5"/>
    <w:rsid w:val="5C7D6700"/>
    <w:rsid w:val="5D0AAC3D"/>
    <w:rsid w:val="5D90174D"/>
    <w:rsid w:val="5DA8D378"/>
    <w:rsid w:val="5F5CFA36"/>
    <w:rsid w:val="5FB0E59B"/>
    <w:rsid w:val="5FC4CACF"/>
    <w:rsid w:val="5FC6E7A5"/>
    <w:rsid w:val="6002EB32"/>
    <w:rsid w:val="6049743F"/>
    <w:rsid w:val="605CF571"/>
    <w:rsid w:val="60CC929A"/>
    <w:rsid w:val="61FD36D0"/>
    <w:rsid w:val="62010F45"/>
    <w:rsid w:val="620CC348"/>
    <w:rsid w:val="621352D5"/>
    <w:rsid w:val="62599B9A"/>
    <w:rsid w:val="6633FF7B"/>
    <w:rsid w:val="67AA24B3"/>
    <w:rsid w:val="67B0E08E"/>
    <w:rsid w:val="683B3D9E"/>
    <w:rsid w:val="6980DB98"/>
    <w:rsid w:val="69E64613"/>
    <w:rsid w:val="6ABCBFAC"/>
    <w:rsid w:val="6B0E1320"/>
    <w:rsid w:val="6B2D02F1"/>
    <w:rsid w:val="6BA3DE55"/>
    <w:rsid w:val="6BFD6034"/>
    <w:rsid w:val="6C8FABB3"/>
    <w:rsid w:val="6D05E4F7"/>
    <w:rsid w:val="6E092D62"/>
    <w:rsid w:val="6F0F339C"/>
    <w:rsid w:val="6FD480E3"/>
    <w:rsid w:val="6FED01DD"/>
    <w:rsid w:val="70044D67"/>
    <w:rsid w:val="70734CA3"/>
    <w:rsid w:val="71304C86"/>
    <w:rsid w:val="7148E957"/>
    <w:rsid w:val="7236E0FA"/>
    <w:rsid w:val="73488AE2"/>
    <w:rsid w:val="74213F85"/>
    <w:rsid w:val="7460FF3D"/>
    <w:rsid w:val="7500A3C0"/>
    <w:rsid w:val="752DF349"/>
    <w:rsid w:val="7538738F"/>
    <w:rsid w:val="770847D1"/>
    <w:rsid w:val="7764B678"/>
    <w:rsid w:val="77F2B079"/>
    <w:rsid w:val="7A434FEC"/>
    <w:rsid w:val="7A636A33"/>
    <w:rsid w:val="7A9F55C5"/>
    <w:rsid w:val="7ADFE5AC"/>
    <w:rsid w:val="7BD275BB"/>
    <w:rsid w:val="7D601A92"/>
    <w:rsid w:val="7DE6866D"/>
    <w:rsid w:val="7E069971"/>
    <w:rsid w:val="7F13200F"/>
    <w:rsid w:val="7F408EA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590F"/>
  <w15:chartTrackingRefBased/>
  <w15:docId w15:val="{17A166C9-79E8-402D-91D4-A3AAE9F0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3210B"/>
    <w:pPr>
      <w:spacing w:after="200" w:line="276" w:lineRule="auto"/>
    </w:pPr>
    <w:rPr>
      <w:rFonts w:ascii="Calibri" w:eastAsia="Calibri" w:hAnsi="Calibri" w:cs="Times New Roman"/>
      <w:kern w:val="0"/>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632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3210B"/>
    <w:pPr>
      <w:ind w:left="720"/>
      <w:contextualSpacing/>
    </w:pPr>
  </w:style>
  <w:style w:type="paragraph" w:styleId="Vahedeta">
    <w:name w:val="No Spacing"/>
    <w:uiPriority w:val="1"/>
    <w:qFormat/>
    <w:rsid w:val="5682A00B"/>
    <w:pPr>
      <w:spacing w:after="0"/>
    </w:pPr>
  </w:style>
  <w:style w:type="paragraph" w:styleId="Kommentaaritekst">
    <w:name w:val="annotation text"/>
    <w:basedOn w:val="Normaallaad"/>
    <w:link w:val="KommentaaritekstMrk"/>
    <w:uiPriority w:val="99"/>
    <w:semiHidden/>
    <w:unhideWhenUsed/>
    <w:pPr>
      <w:spacing w:line="240" w:lineRule="auto"/>
    </w:pPr>
    <w:rPr>
      <w:sz w:val="20"/>
      <w:szCs w:val="20"/>
    </w:rPr>
  </w:style>
  <w:style w:type="character" w:customStyle="1" w:styleId="KommentaaritekstMrk">
    <w:name w:val="Kommentaari tekst Märk"/>
    <w:basedOn w:val="Liguvaikefont"/>
    <w:link w:val="Kommentaaritekst"/>
    <w:uiPriority w:val="99"/>
    <w:semiHidden/>
    <w:rPr>
      <w:rFonts w:ascii="Calibri" w:eastAsia="Calibri" w:hAnsi="Calibri" w:cs="Times New Roman"/>
      <w:kern w:val="0"/>
      <w:sz w:val="20"/>
      <w:szCs w:val="20"/>
      <w14:ligatures w14:val="none"/>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7F1778"/>
    <w:pPr>
      <w:spacing w:after="0" w:line="240" w:lineRule="auto"/>
    </w:pPr>
    <w:rPr>
      <w:rFonts w:ascii="Calibri" w:eastAsia="Calibri" w:hAnsi="Calibri" w:cs="Times New Roman"/>
      <w:kern w:val="0"/>
      <w14:ligatures w14:val="none"/>
    </w:rPr>
  </w:style>
  <w:style w:type="paragraph" w:styleId="Pis">
    <w:name w:val="header"/>
    <w:basedOn w:val="Normaallaad"/>
    <w:link w:val="PisMrk"/>
    <w:uiPriority w:val="99"/>
    <w:unhideWhenUsed/>
    <w:rsid w:val="00FC6D0B"/>
    <w:pPr>
      <w:tabs>
        <w:tab w:val="center" w:pos="4536"/>
        <w:tab w:val="right" w:pos="9072"/>
      </w:tabs>
      <w:spacing w:after="0" w:line="240" w:lineRule="auto"/>
    </w:pPr>
  </w:style>
  <w:style w:type="character" w:customStyle="1" w:styleId="PisMrk">
    <w:name w:val="Päis Märk"/>
    <w:basedOn w:val="Liguvaikefont"/>
    <w:link w:val="Pis"/>
    <w:uiPriority w:val="99"/>
    <w:rsid w:val="00FC6D0B"/>
    <w:rPr>
      <w:rFonts w:ascii="Calibri" w:eastAsia="Calibri" w:hAnsi="Calibri" w:cs="Times New Roman"/>
      <w:kern w:val="0"/>
      <w14:ligatures w14:val="none"/>
    </w:rPr>
  </w:style>
  <w:style w:type="paragraph" w:styleId="Jalus">
    <w:name w:val="footer"/>
    <w:basedOn w:val="Normaallaad"/>
    <w:link w:val="JalusMrk"/>
    <w:uiPriority w:val="99"/>
    <w:unhideWhenUsed/>
    <w:rsid w:val="00FC6D0B"/>
    <w:pPr>
      <w:tabs>
        <w:tab w:val="center" w:pos="4536"/>
        <w:tab w:val="right" w:pos="9072"/>
      </w:tabs>
      <w:spacing w:after="0" w:line="240" w:lineRule="auto"/>
    </w:pPr>
  </w:style>
  <w:style w:type="character" w:customStyle="1" w:styleId="JalusMrk">
    <w:name w:val="Jalus Märk"/>
    <w:basedOn w:val="Liguvaikefont"/>
    <w:link w:val="Jalus"/>
    <w:uiPriority w:val="99"/>
    <w:rsid w:val="00FC6D0B"/>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40386">
      <w:bodyDiv w:val="1"/>
      <w:marLeft w:val="0"/>
      <w:marRight w:val="0"/>
      <w:marTop w:val="0"/>
      <w:marBottom w:val="0"/>
      <w:divBdr>
        <w:top w:val="none" w:sz="0" w:space="0" w:color="auto"/>
        <w:left w:val="none" w:sz="0" w:space="0" w:color="auto"/>
        <w:bottom w:val="none" w:sz="0" w:space="0" w:color="auto"/>
        <w:right w:val="none" w:sz="0" w:space="0" w:color="auto"/>
      </w:divBdr>
    </w:div>
    <w:div w:id="91914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7A77D4-4688-4EAE-AB23-748FA879D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D3892-5F4A-44C2-A46C-99496691A913}">
  <ds:schemaRefs>
    <ds:schemaRef ds:uri="http://schemas.microsoft.com/sharepoint/v3/contenttype/forms"/>
  </ds:schemaRefs>
</ds:datastoreItem>
</file>

<file path=customXml/itemProps3.xml><?xml version="1.0" encoding="utf-8"?>
<ds:datastoreItem xmlns:ds="http://schemas.openxmlformats.org/officeDocument/2006/customXml" ds:itemID="{486B7509-B18A-4A57-AB92-4984162FB871}">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1225</Words>
  <Characters>7106</Characters>
  <Application>Microsoft Office Word</Application>
  <DocSecurity>0</DocSecurity>
  <Lines>59</Lines>
  <Paragraphs>16</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Logussov</dc:creator>
  <cp:keywords/>
  <dc:description/>
  <cp:lastModifiedBy>Heili Tõnisson - RK</cp:lastModifiedBy>
  <cp:revision>4</cp:revision>
  <dcterms:created xsi:type="dcterms:W3CDTF">2025-09-17T13:29:00Z</dcterms:created>
  <dcterms:modified xsi:type="dcterms:W3CDTF">2025-09-17T15:09:00Z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Order">
    <vt:r8>3043400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2025-08-18T06:17:06Z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b94891e5-7153-4779-b846-04c5d740d81f</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ies>
</file>